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71B" w:rsidRDefault="00DE471B">
      <w:pPr>
        <w:rPr>
          <w:rFonts w:eastAsia="仿宋_GB2312"/>
          <w:sz w:val="30"/>
        </w:rPr>
      </w:pPr>
    </w:p>
    <w:p w:rsidR="00DE471B" w:rsidRDefault="006B572E">
      <w:pPr>
        <w:spacing w:line="360" w:lineRule="auto"/>
        <w:jc w:val="center"/>
        <w:rPr>
          <w:rFonts w:ascii="黑体" w:eastAsia="黑体" w:hAnsi="黑体"/>
          <w:sz w:val="32"/>
          <w:szCs w:val="32"/>
        </w:rPr>
      </w:pPr>
      <w:r>
        <w:rPr>
          <w:rFonts w:ascii="黑体" w:eastAsia="黑体" w:hAnsi="黑体" w:hint="eastAsia"/>
          <w:sz w:val="32"/>
          <w:szCs w:val="32"/>
        </w:rPr>
        <w:t>苏州市市级预算部门（单位）整体支出预算绩效自评报告</w:t>
      </w:r>
    </w:p>
    <w:p w:rsidR="00DE471B" w:rsidRDefault="006B572E">
      <w:pPr>
        <w:spacing w:line="360" w:lineRule="auto"/>
        <w:jc w:val="center"/>
        <w:rPr>
          <w:rFonts w:ascii="黑体" w:eastAsia="黑体"/>
          <w:sz w:val="32"/>
          <w:szCs w:val="32"/>
        </w:rPr>
      </w:pPr>
      <w:r>
        <w:rPr>
          <w:rFonts w:ascii="黑体" w:eastAsia="黑体" w:hint="eastAsia"/>
          <w:sz w:val="32"/>
          <w:szCs w:val="32"/>
        </w:rPr>
        <w:t>（2025</w:t>
      </w:r>
      <w:bookmarkStart w:id="0" w:name="_GoBack"/>
      <w:bookmarkEnd w:id="0"/>
      <w:r>
        <w:rPr>
          <w:rFonts w:ascii="黑体" w:eastAsia="黑体" w:hint="eastAsia"/>
          <w:sz w:val="32"/>
          <w:szCs w:val="32"/>
        </w:rPr>
        <w:t>年度）</w:t>
      </w:r>
    </w:p>
    <w:p w:rsidR="00DE471B" w:rsidRDefault="00DE471B">
      <w:pPr>
        <w:spacing w:line="360" w:lineRule="auto"/>
        <w:jc w:val="center"/>
        <w:rPr>
          <w:rFonts w:eastAsia="仿宋_GB2312"/>
          <w:sz w:val="30"/>
        </w:rPr>
      </w:pPr>
    </w:p>
    <w:p w:rsidR="00DE471B" w:rsidRDefault="006B572E">
      <w:pPr>
        <w:spacing w:line="360" w:lineRule="auto"/>
        <w:ind w:firstLineChars="200" w:firstLine="600"/>
        <w:rPr>
          <w:rFonts w:ascii="黑体" w:eastAsia="黑体" w:hAnsi="黑体"/>
          <w:sz w:val="30"/>
        </w:rPr>
      </w:pPr>
      <w:r>
        <w:rPr>
          <w:rFonts w:ascii="黑体" w:eastAsia="黑体" w:hAnsi="黑体" w:hint="eastAsia"/>
          <w:sz w:val="30"/>
        </w:rPr>
        <w:t>一、预算部门名称：</w:t>
      </w:r>
      <w:r>
        <w:rPr>
          <w:rFonts w:ascii="宋体" w:hAnsi="宋体" w:cs="宋体" w:hint="eastAsia"/>
          <w:sz w:val="24"/>
        </w:rPr>
        <w:t>中共苏州市委金融委员会办公室</w:t>
      </w:r>
    </w:p>
    <w:p w:rsidR="00DE471B" w:rsidRDefault="006B572E">
      <w:pPr>
        <w:spacing w:line="360" w:lineRule="auto"/>
        <w:ind w:firstLineChars="200" w:firstLine="600"/>
        <w:rPr>
          <w:rFonts w:ascii="黑体" w:eastAsia="黑体" w:hAnsi="黑体"/>
          <w:sz w:val="30"/>
        </w:rPr>
      </w:pPr>
      <w:r>
        <w:rPr>
          <w:rFonts w:ascii="黑体" w:eastAsia="黑体" w:hAnsi="黑体" w:hint="eastAsia"/>
          <w:sz w:val="30"/>
        </w:rPr>
        <w:t>二、</w:t>
      </w:r>
      <w:r>
        <w:rPr>
          <w:rFonts w:ascii="黑体" w:eastAsia="黑体" w:hAnsi="黑体"/>
          <w:sz w:val="30"/>
        </w:rPr>
        <w:t>年度履职目标完成情况</w:t>
      </w:r>
      <w:r>
        <w:rPr>
          <w:rFonts w:ascii="黑体" w:eastAsia="黑体" w:hAnsi="黑体" w:hint="eastAsia"/>
          <w:sz w:val="30"/>
        </w:rPr>
        <w:t>：</w:t>
      </w:r>
    </w:p>
    <w:p w:rsidR="0011141B" w:rsidRDefault="006B572E" w:rsidP="0011141B">
      <w:pPr>
        <w:spacing w:line="360" w:lineRule="auto"/>
        <w:ind w:firstLineChars="200" w:firstLine="480"/>
        <w:rPr>
          <w:rFonts w:ascii="宋体" w:hAnsi="宋体" w:cs="宋体"/>
          <w:sz w:val="24"/>
        </w:rPr>
      </w:pPr>
      <w:r>
        <w:rPr>
          <w:rFonts w:ascii="宋体" w:hAnsi="宋体" w:cs="宋体" w:hint="eastAsia"/>
          <w:sz w:val="24"/>
        </w:rPr>
        <w:t>今年以来，市委金融办坚决贯彻落实市委、市政府决策部署，紧紧围绕金融高质量发展的目标任务，强基础、抓改革、争前列，为全市经济社会发展大局提供有力金融支撑。</w:t>
      </w:r>
    </w:p>
    <w:p w:rsidR="0011141B" w:rsidRPr="0011141B" w:rsidRDefault="0011141B" w:rsidP="0011141B">
      <w:pPr>
        <w:spacing w:line="360" w:lineRule="auto"/>
        <w:ind w:firstLineChars="200" w:firstLine="480"/>
        <w:rPr>
          <w:rFonts w:ascii="宋体" w:hAnsi="宋体" w:cs="宋体"/>
          <w:sz w:val="24"/>
        </w:rPr>
      </w:pPr>
      <w:r w:rsidRPr="0011141B">
        <w:rPr>
          <w:rFonts w:ascii="宋体" w:hAnsi="宋体" w:cs="宋体" w:hint="eastAsia"/>
          <w:sz w:val="24"/>
        </w:rPr>
        <w:t>（一）争前列，重点工作推进有序有力。一是上市工作争先进位。新增上市公司20家，其中境内A股12家，当年新增A股数历史性排名全国大中城市首位。二是重大试点全国靠前。加速推进AIC股权投资试点，储备项目超700个，落地项目7个，投资金额3.428亿元；落地科技企业并购贷款25笔，投放金额超50亿元；QFLP外汇余额管理试点稳步开展，累计落地试点业务7笔，获批额度、资金流入居试点地区前列。三是数币核心指标持续保持全国首位。数字人民币当年交易金额超5万亿元，累计突破12万亿元，完成货币桥交易200余笔，金额超73亿元，落地首笔双边模式数字人民币跨境支付。</w:t>
      </w:r>
    </w:p>
    <w:p w:rsidR="0011141B" w:rsidRPr="0011141B" w:rsidRDefault="0011141B" w:rsidP="0011141B">
      <w:pPr>
        <w:spacing w:line="360" w:lineRule="auto"/>
        <w:ind w:firstLineChars="200" w:firstLine="480"/>
        <w:rPr>
          <w:rFonts w:ascii="宋体" w:hAnsi="宋体" w:cs="宋体"/>
          <w:sz w:val="24"/>
        </w:rPr>
      </w:pPr>
      <w:r w:rsidRPr="0011141B">
        <w:rPr>
          <w:rFonts w:ascii="宋体" w:hAnsi="宋体" w:cs="宋体" w:hint="eastAsia"/>
          <w:sz w:val="24"/>
        </w:rPr>
        <w:t>（二）抓改革，金融开放创新不断深化。一是获批全国首个科技金融国际合作发展区，配套出台实施方案及实施工作机制，梳理100项重点任务清单，揭牌苏州市科技金融国际合作发展联合会。二是数字金融创新动作频出。全力推进数字金融高质量发展行动方案、“人工智能+金融”行业应用及金融面客试点、建设数字金融重点实验室等创新工作。三是金融开放合作成效渐显。举办苏州（香港）金融合作交流会，推动签署《香港—苏州金融协同发展行动方案》，形成80项协同任务清单，设立联合会苏港双中心，积极推进苏州企业出海综合服务站（香港）建设。</w:t>
      </w:r>
    </w:p>
    <w:p w:rsidR="0011141B" w:rsidRPr="0011141B" w:rsidRDefault="0011141B" w:rsidP="0011141B">
      <w:pPr>
        <w:spacing w:line="360" w:lineRule="auto"/>
        <w:ind w:firstLineChars="200" w:firstLine="480"/>
        <w:rPr>
          <w:rFonts w:ascii="宋体" w:hAnsi="宋体" w:cs="宋体"/>
          <w:sz w:val="24"/>
        </w:rPr>
      </w:pPr>
      <w:r w:rsidRPr="0011141B">
        <w:rPr>
          <w:rFonts w:ascii="宋体" w:hAnsi="宋体" w:cs="宋体" w:hint="eastAsia"/>
          <w:sz w:val="24"/>
        </w:rPr>
        <w:t>（三）强基础，金融服务支撑更加有力。一是金融业贡献度逐步提升。2025年，全市金融业增加值2040亿元，占GDP比重7.4%，增速4.5%。二是金融稳外贸、稳就业、促消费扎实落地。做好384家重点涉美企业、3181家重点对美出口企业融资服务和监测，累放贷款1121户次、656亿元；推动落地“苏岗担”“薪资贷”“薪酬宝”等</w:t>
      </w:r>
      <w:r w:rsidRPr="0011141B">
        <w:rPr>
          <w:rFonts w:ascii="宋体" w:hAnsi="宋体" w:cs="宋体" w:hint="eastAsia"/>
          <w:sz w:val="24"/>
        </w:rPr>
        <w:lastRenderedPageBreak/>
        <w:t>稳岗支持产品，发挥金融支持企业稳岗扩岗作用；联合7部门共同印发《苏州市金融助力提振消费的若干举措》，助力提振消费。三是金融组织体系持续完善。东吴财险获批开业。众诚保险苏州中心支公司成功落户。工商银行、平安银行等5家在苏分支机构升格为一级分行（分公司）。苏州银行获批私募股权基金托管业务和人民币跨境支付系统（CIPS）直参行资质。</w:t>
      </w:r>
    </w:p>
    <w:p w:rsidR="00DE471B" w:rsidRDefault="006B572E" w:rsidP="0011141B">
      <w:pPr>
        <w:spacing w:line="360" w:lineRule="auto"/>
        <w:ind w:firstLineChars="200" w:firstLine="600"/>
        <w:rPr>
          <w:rFonts w:ascii="黑体" w:eastAsia="黑体" w:hAnsi="黑体"/>
          <w:sz w:val="30"/>
        </w:rPr>
      </w:pPr>
      <w:r>
        <w:rPr>
          <w:rFonts w:ascii="黑体" w:eastAsia="黑体" w:hAnsi="黑体" w:hint="eastAsia"/>
          <w:sz w:val="30"/>
        </w:rPr>
        <w:t>三、部门（单位）概况</w:t>
      </w:r>
    </w:p>
    <w:p w:rsidR="00DE471B" w:rsidRDefault="006B572E">
      <w:pPr>
        <w:spacing w:line="360" w:lineRule="auto"/>
        <w:ind w:firstLineChars="200" w:firstLine="480"/>
        <w:rPr>
          <w:rFonts w:ascii="宋体" w:hAnsi="宋体" w:cs="宋体"/>
          <w:sz w:val="24"/>
        </w:rPr>
      </w:pPr>
      <w:r>
        <w:rPr>
          <w:rFonts w:ascii="宋体" w:hAnsi="宋体" w:cs="宋体" w:hint="eastAsia"/>
          <w:sz w:val="24"/>
        </w:rPr>
        <w:t>市委金融办（市地方金融管理局）、市委金融工委负责贯彻落实党中央关于金融工作的方针政策和省委、市委的决策部署，把坚持和加强党对金融工作的领导落实到履行职责过程中。主要职责是：（一）组织统筹全市地方金融系统党的工作，研究拟订加强和改进全市地方金融系统党的建设的工作规划、政策举措并组织实施。（二）指导全市地方金融系统党的建设，指导辖区地方国有金融企业和非公金融企业党建工作。督促指导市属国有金融企业机关党委按期换届等工作。指导全市地方金融系统各级党组织加强基层组织建设。会同市委“两新”工委指导全市非公金融企业党的建设工作。做好全市地方金融系统干部教育培训相关工作。（三）牵头开展全市金融安全稳定发展的重大规划、重大政策、重大问题等研究，提出推动全市金融稳定和发展的总体思路。协同驻苏中央金融管理部门监测研判全市金融形势，研究提出加强金融监管、防控金融风险、推动金融高质量发展的建议。（四）统筹协调全市地方金融监管、金融风险防范处置、金融改革创新发展等重大事项，推动压实县级市（区）的监管责任和风险处置责任。（五）贯彻执行金融法律法规和方针政策。落实国家、省有关地方金融管理领域的法规、规章和政策。研究拟订地方金融管理职责范围内的规划和政策。（六）推进全市金融改革创新发展和金融对外开放合作。联系协调驻苏金融机构，配合驻苏中央金融管理部门引导各类金融机构优化资源配置和金融服务，推动直接融资发展。建设全市综合金融服务体系。（七）组织协调防范化解地方金融风险、处置地方金融突发事件和重大事件，研究重大地方金融风险处置方案。牵头做好防范和处置非法集资工作。配合驻苏中央金融管理部门做好市外机构涉及我市的金融风险处置相关工作。协同驻苏中央金融管理部门健全金融风险监测预警体系，以及金融监管、风险处置、信息共享等协作机制。（八）负责全市小额贷款公司、融资担保公司（含融资再担保公司）、典当行、融资租赁公司、商业保理公司、区域性股权市场以及从事经中央金融管理部门批准可开展金融企业不良资产批量收购处置业务的地方资产管理公司的监督管理。负责强化对全市开展信用互助的农民专业合作社（含农民资金互助合作社）和具有金</w:t>
      </w:r>
      <w:r>
        <w:rPr>
          <w:rFonts w:ascii="宋体" w:hAnsi="宋体" w:cs="宋体" w:hint="eastAsia"/>
          <w:sz w:val="24"/>
        </w:rPr>
        <w:lastRenderedPageBreak/>
        <w:t>融属性但不属于中央金融管理部门监管的投资公司、社会众筹机构、地方各类交易场所的监督管理。（九）协调督促有关方面落实市委、市委金融委的工作部署。协调开展地方金融领域重大事项落实情况督查工作，督促有关部门和各县级市（区）对督查发现的突出问题进行整改落实。建立健全问责机制，研究提出问责建议。（十）完成市委及市委金融委交办的其他任务。①机构设置：市委金融办（市地方金融管理局）、市委金融工委设下列内设机构：综合处（人事处、政策法规处）、组织和考评处、协调服务一处（数字金融处）、协调服务二处（资本市场处）、风险防控处（打击和处置非法金融活动处）、地方金融监管处；下属事业单位包括1家：苏州市长三角数字金融产业研究中心。②人员配置：机关行政编制26名，事业编制20</w:t>
      </w:r>
      <w:r w:rsidR="00B04C9A">
        <w:rPr>
          <w:rFonts w:ascii="宋体" w:hAnsi="宋体" w:cs="宋体" w:hint="eastAsia"/>
          <w:sz w:val="24"/>
        </w:rPr>
        <w:t>名</w:t>
      </w:r>
      <w:r>
        <w:rPr>
          <w:rFonts w:ascii="宋体" w:hAnsi="宋体" w:cs="宋体" w:hint="eastAsia"/>
          <w:sz w:val="24"/>
        </w:rPr>
        <w:t>。</w:t>
      </w:r>
    </w:p>
    <w:p w:rsidR="00DE471B" w:rsidRDefault="006B572E">
      <w:pPr>
        <w:spacing w:line="360" w:lineRule="auto"/>
        <w:ind w:left="600"/>
        <w:rPr>
          <w:rFonts w:ascii="黑体" w:eastAsia="黑体" w:hAnsi="黑体"/>
          <w:sz w:val="30"/>
        </w:rPr>
      </w:pPr>
      <w:r>
        <w:rPr>
          <w:rFonts w:ascii="黑体" w:eastAsia="黑体" w:hAnsi="黑体" w:hint="eastAsia"/>
          <w:sz w:val="30"/>
        </w:rPr>
        <w:t>四、部门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整体支出绩效实现情况</w:t>
      </w:r>
    </w:p>
    <w:p w:rsidR="00DE471B" w:rsidRDefault="006B572E">
      <w:pPr>
        <w:spacing w:line="360" w:lineRule="auto"/>
        <w:ind w:firstLineChars="200" w:firstLine="480"/>
        <w:rPr>
          <w:rFonts w:ascii="宋体" w:hAnsi="宋体" w:cs="宋体"/>
          <w:sz w:val="24"/>
        </w:rPr>
      </w:pPr>
      <w:r>
        <w:rPr>
          <w:rFonts w:ascii="宋体" w:hAnsi="宋体" w:cs="宋体" w:hint="eastAsia"/>
          <w:sz w:val="24"/>
        </w:rPr>
        <w:t>（一）部门管理情况：1、预算管理方面，本年度根据“总量控制、计划管理”的要求从严控制预算，预算编制规范，预算执行整体较好，财政供养人员控制在预算编制以内，落实预决算公开要求，进一步提高财政支出信息的透明度。2、财务管理和资金使用方面，严格执行财政预算管理要求，切实贯彻单位内部控制制度，按照预算科目规定使用财政资金，资金使用合规有效。3、政府采购和资产管理方面，严格执行政府采购流程，资产配置、资产使用等资产管理各环节工作规范开展。（二）部门履职及效果情况：一是扎实推进“信保贷”业务。全市当年完成贷款投放8536笔、服务企业5173户、金额共计234亿元，年末贷款余额243亿元。截至2025年末，“信保贷”业务累计实现贷款投放75623笔，金额共计1971亿元，累计惠及我市超1.73万户企业。服务的企业覆盖苏州大市范围各区域，企业覆盖面稳步增长，取得了良好的社会反响。二是数字金融产业聚势突破。2025年交易金额4.9万亿元，累计超11万亿元，占全国总交易量超70%。场景创新深入扩大，“苏智合”预付资金监管平台覆盖8个行业1189家商户入驻，监管资金超2000万元； 货币桥交易200余笔，金额超73亿元，落地省内首笔双边模式数字人民币跨境支付；“东航</w:t>
      </w:r>
      <w:proofErr w:type="spellStart"/>
      <w:r>
        <w:rPr>
          <w:rFonts w:ascii="宋体" w:hAnsi="宋体" w:cs="宋体" w:hint="eastAsia"/>
          <w:sz w:val="24"/>
        </w:rPr>
        <w:t>SuzhouPass</w:t>
      </w:r>
      <w:proofErr w:type="spellEnd"/>
      <w:r>
        <w:rPr>
          <w:rFonts w:ascii="宋体" w:hAnsi="宋体" w:cs="宋体" w:hint="eastAsia"/>
          <w:sz w:val="24"/>
        </w:rPr>
        <w:t>联名卡”累计发卡1500张，“苏惠青年卡”累计申请6600人。开展数币分类分层培训161场次，覆盖6000余人次。三是资本市场建设走在前列。今年以来，全市新增境内外上市公司</w:t>
      </w:r>
      <w:r w:rsidR="00B04C9A">
        <w:rPr>
          <w:rFonts w:ascii="宋体" w:hAnsi="宋体" w:cs="宋体" w:hint="eastAsia"/>
          <w:sz w:val="24"/>
        </w:rPr>
        <w:t>20</w:t>
      </w:r>
      <w:r>
        <w:rPr>
          <w:rFonts w:ascii="宋体" w:hAnsi="宋体" w:cs="宋体" w:hint="eastAsia"/>
          <w:sz w:val="24"/>
        </w:rPr>
        <w:t>家，其中新增境内A股数量</w:t>
      </w:r>
      <w:r w:rsidR="00B04C9A">
        <w:rPr>
          <w:rFonts w:ascii="宋体" w:hAnsi="宋体" w:cs="宋体" w:hint="eastAsia"/>
          <w:sz w:val="24"/>
        </w:rPr>
        <w:t>12家，</w:t>
      </w:r>
      <w:r>
        <w:rPr>
          <w:rFonts w:ascii="宋体" w:hAnsi="宋体" w:cs="宋体" w:hint="eastAsia"/>
          <w:sz w:val="24"/>
        </w:rPr>
        <w:t>历史性排名全国大中城市当年新增A股数首位。全市境内外上市公司总数达</w:t>
      </w:r>
      <w:r w:rsidR="00B04C9A">
        <w:rPr>
          <w:rFonts w:ascii="宋体" w:hAnsi="宋体" w:cs="宋体" w:hint="eastAsia"/>
          <w:sz w:val="24"/>
        </w:rPr>
        <w:t>284</w:t>
      </w:r>
      <w:r>
        <w:rPr>
          <w:rFonts w:ascii="宋体" w:hAnsi="宋体" w:cs="宋体" w:hint="eastAsia"/>
          <w:sz w:val="24"/>
        </w:rPr>
        <w:t>家，其中境内A股</w:t>
      </w:r>
      <w:r w:rsidR="00B04C9A">
        <w:rPr>
          <w:rFonts w:ascii="宋体" w:hAnsi="宋体" w:cs="宋体" w:hint="eastAsia"/>
          <w:sz w:val="24"/>
        </w:rPr>
        <w:t>229</w:t>
      </w:r>
      <w:r>
        <w:rPr>
          <w:rFonts w:ascii="宋体" w:hAnsi="宋体" w:cs="宋体" w:hint="eastAsia"/>
          <w:sz w:val="24"/>
        </w:rPr>
        <w:t>家，保持全国前列。我市先后被纳入金融资产投资公司（AIC）股权投资试点、科技企业并购贷款试点，均系唯一入列首批试点的地级市。AIC首批合作基金完成备案并实现项目投资，启动第二批基金设立，储备项目</w:t>
      </w:r>
      <w:r>
        <w:rPr>
          <w:rFonts w:ascii="宋体" w:hAnsi="宋体" w:cs="宋体" w:hint="eastAsia"/>
          <w:sz w:val="24"/>
        </w:rPr>
        <w:lastRenderedPageBreak/>
        <w:t>超700个，落地项目投资7个3.43亿元。QFLP试点获批扩面至全市域，推动出台《苏州市合格境外有限合伙人试点指导意见(试行)》，累计落地试点业务7笔，获批额度、资金流入居试点地区前列。四是金融人才素质稳步提升。推进苏州金融人才培养工作，举办五期金融人才培训班，联合市委组织部举办领导干部提升金融工作能力专题研修班，列入市级层面主体班规划。通过解读国内经济金融形势、分析金融创新发展、分享金融专业知识和先进经验，为金融行业的内部交流与分享搭建了良好的平台，为活跃苏州及周边地区金融环境，带动苏州金融产业的发展起到了积极促进作用。</w:t>
      </w:r>
    </w:p>
    <w:p w:rsidR="00DE471B" w:rsidRDefault="006B572E">
      <w:pPr>
        <w:spacing w:line="360" w:lineRule="auto"/>
        <w:ind w:left="600"/>
        <w:rPr>
          <w:rFonts w:ascii="黑体" w:eastAsia="黑体" w:hAnsi="黑体"/>
          <w:sz w:val="30"/>
        </w:rPr>
      </w:pPr>
      <w:r>
        <w:rPr>
          <w:rFonts w:ascii="黑体" w:eastAsia="黑体" w:hAnsi="黑体" w:hint="eastAsia"/>
          <w:sz w:val="30"/>
        </w:rPr>
        <w:t>五、部门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整体支出绩效中存</w:t>
      </w:r>
      <w:r>
        <w:rPr>
          <w:rFonts w:ascii="黑体" w:eastAsia="黑体" w:hAnsi="黑体"/>
          <w:sz w:val="30"/>
        </w:rPr>
        <w:t>在问题</w:t>
      </w:r>
      <w:r>
        <w:rPr>
          <w:rFonts w:ascii="黑体" w:eastAsia="黑体" w:hAnsi="黑体" w:hint="eastAsia"/>
          <w:sz w:val="30"/>
        </w:rPr>
        <w:t>及</w:t>
      </w:r>
      <w:r>
        <w:rPr>
          <w:rFonts w:ascii="黑体" w:eastAsia="黑体" w:hAnsi="黑体"/>
          <w:sz w:val="30"/>
        </w:rPr>
        <w:t>改进措施</w:t>
      </w:r>
    </w:p>
    <w:p w:rsidR="00DE471B" w:rsidRDefault="006B572E">
      <w:pPr>
        <w:spacing w:line="360" w:lineRule="auto"/>
        <w:ind w:firstLineChars="200" w:firstLine="480"/>
        <w:rPr>
          <w:rFonts w:ascii="宋体" w:hAnsi="宋体" w:cs="宋体"/>
          <w:sz w:val="24"/>
        </w:rPr>
      </w:pPr>
      <w:r>
        <w:rPr>
          <w:rFonts w:ascii="宋体" w:hAnsi="宋体" w:cs="宋体" w:hint="eastAsia"/>
          <w:sz w:val="24"/>
        </w:rPr>
        <w:t>（一）主要问题及原因分析由于近年来金融改革创新举措层出不穷，金融经济环境受政策面影响较大，地方金融发展不断加速，导致年初预算编制和绩效目标设置精准度不够，与工作的结合性不够。（二）改进的方向和具体措施1、提高预算编制精准度。结合业务工作实践，深入分析上年预算执行情况，认真调研奖补政策实施情况，按照政策相符性、目标相关性和经济合理性的原则，细化编制项目预算。根据地方金融发展规划和年度工作重点安排资金明细，切实保障重点项目支出。2、增强预算管理精细度。加强项目动态管理，明确责任和分工，业务开展和资金支付紧密结合，明确项目关键点和付款进度，严格按照合同约定及时支付，全面提高预算执行率。3、强化绩效管理全面性。针对苏州经济金融现状，结合全市金融发展的统筹规划和政策目标，不断强化金融经济形势分析，围绕重点工作制定绩效目标，不断提升绩效目标指引性，使财政资金绩效工作贯穿于部门履职各个方面。</w:t>
      </w:r>
    </w:p>
    <w:p w:rsidR="00DE471B" w:rsidRDefault="006B572E">
      <w:pPr>
        <w:spacing w:line="360" w:lineRule="auto"/>
        <w:ind w:left="600"/>
        <w:rPr>
          <w:rFonts w:ascii="黑体" w:eastAsia="黑体" w:hAnsi="黑体"/>
          <w:sz w:val="30"/>
        </w:rPr>
      </w:pPr>
      <w:r>
        <w:rPr>
          <w:rFonts w:ascii="黑体" w:eastAsia="黑体" w:hAnsi="黑体" w:hint="eastAsia"/>
          <w:sz w:val="30"/>
        </w:rPr>
        <w:t>六、</w:t>
      </w:r>
      <w:r>
        <w:rPr>
          <w:rFonts w:ascii="黑体" w:eastAsia="黑体" w:hAnsi="黑体"/>
          <w:sz w:val="30"/>
        </w:rPr>
        <w:t>绩效自评</w:t>
      </w:r>
      <w:r>
        <w:rPr>
          <w:rFonts w:ascii="黑体" w:eastAsia="黑体" w:hAnsi="黑体" w:hint="eastAsia"/>
          <w:sz w:val="30"/>
        </w:rPr>
        <w:t>结果</w:t>
      </w:r>
      <w:r>
        <w:rPr>
          <w:rFonts w:ascii="黑体" w:eastAsia="黑体" w:hAnsi="黑体"/>
          <w:sz w:val="30"/>
        </w:rPr>
        <w:t>拟应用和公开</w:t>
      </w:r>
      <w:r>
        <w:rPr>
          <w:rFonts w:ascii="黑体" w:eastAsia="黑体" w:hAnsi="黑体" w:hint="eastAsia"/>
          <w:sz w:val="30"/>
        </w:rPr>
        <w:t>情况</w:t>
      </w:r>
    </w:p>
    <w:p w:rsidR="00DE471B" w:rsidRDefault="006B572E">
      <w:pPr>
        <w:spacing w:line="360" w:lineRule="auto"/>
        <w:ind w:firstLineChars="200" w:firstLine="480"/>
        <w:rPr>
          <w:rFonts w:ascii="宋体" w:hAnsi="宋体" w:cs="宋体"/>
          <w:sz w:val="24"/>
        </w:rPr>
      </w:pPr>
      <w:r>
        <w:rPr>
          <w:rFonts w:ascii="宋体" w:hAnsi="宋体" w:cs="宋体" w:hint="eastAsia"/>
          <w:sz w:val="24"/>
        </w:rPr>
        <w:t>本部门将进一步推进全面实施预算绩效管理，实现预算和绩效管理一体化，着力提升财政资源配置效率和使用效益。一是高度重视预算绩效管理，夯实基础，健全完善我局预算绩效管理制度，落实绩效主体责任。二是科学编报绩效目标，做好绩效运行监控，加强绩效评价结果应用，确保全面预算绩效管理工作顺利完成。三是根据市财政局要求，按时保质完成各项预决算及绩效公开工作，增强政府预决算透明度，着力提升绩效管理水平。</w:t>
      </w:r>
    </w:p>
    <w:p w:rsidR="00DE471B" w:rsidRDefault="00DE471B">
      <w:pPr>
        <w:spacing w:line="360" w:lineRule="auto"/>
        <w:rPr>
          <w:rFonts w:ascii="黑体" w:eastAsia="黑体" w:hAnsi="黑体"/>
          <w:sz w:val="30"/>
        </w:rPr>
        <w:sectPr w:rsidR="00DE471B">
          <w:headerReference w:type="even" r:id="rId7"/>
          <w:headerReference w:type="default" r:id="rId8"/>
          <w:footerReference w:type="even" r:id="rId9"/>
          <w:footerReference w:type="default" r:id="rId10"/>
          <w:pgSz w:w="11907" w:h="16840"/>
          <w:pgMar w:top="1247" w:right="1400" w:bottom="1089" w:left="1559" w:header="851" w:footer="992" w:gutter="0"/>
          <w:paperSrc w:first="15" w:other="15"/>
          <w:cols w:space="720"/>
          <w:docGrid w:type="lines" w:linePitch="312"/>
        </w:sectPr>
      </w:pPr>
    </w:p>
    <w:p w:rsidR="00DE471B" w:rsidRDefault="006B572E">
      <w:pPr>
        <w:numPr>
          <w:ilvl w:val="0"/>
          <w:numId w:val="1"/>
        </w:numPr>
        <w:spacing w:line="360" w:lineRule="auto"/>
        <w:ind w:left="600"/>
        <w:rPr>
          <w:rFonts w:ascii="黑体" w:eastAsia="黑体" w:hAnsi="黑体"/>
          <w:sz w:val="30"/>
        </w:rPr>
      </w:pPr>
      <w:r>
        <w:rPr>
          <w:rFonts w:ascii="黑体" w:eastAsia="黑体" w:hAnsi="黑体" w:hint="eastAsia"/>
          <w:sz w:val="30"/>
        </w:rPr>
        <w:lastRenderedPageBreak/>
        <w:t>预算信息</w:t>
      </w:r>
    </w:p>
    <w:p w:rsidR="00DE471B" w:rsidRDefault="00DE471B">
      <w:pPr>
        <w:spacing w:line="360" w:lineRule="auto"/>
        <w:ind w:left="600"/>
        <w:rPr>
          <w:rFonts w:ascii="黑体" w:eastAsia="黑体" w:hAnsi="黑体"/>
          <w:sz w:val="30"/>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79"/>
        <w:gridCol w:w="2268"/>
        <w:gridCol w:w="2268"/>
        <w:gridCol w:w="2268"/>
        <w:gridCol w:w="2268"/>
        <w:gridCol w:w="2268"/>
      </w:tblGrid>
      <w:tr w:rsidR="00DE471B">
        <w:trPr>
          <w:trHeight w:val="339"/>
        </w:trPr>
        <w:tc>
          <w:tcPr>
            <w:tcW w:w="3079"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本年度预算资金（万元）</w:t>
            </w:r>
          </w:p>
        </w:tc>
        <w:tc>
          <w:tcPr>
            <w:tcW w:w="226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年初预算数（万元）</w:t>
            </w:r>
          </w:p>
        </w:tc>
        <w:tc>
          <w:tcPr>
            <w:tcW w:w="226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上年度结转及当年预算追加追减数(万元）</w:t>
            </w:r>
          </w:p>
        </w:tc>
        <w:tc>
          <w:tcPr>
            <w:tcW w:w="226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调整预算数（万元）</w:t>
            </w:r>
          </w:p>
        </w:tc>
        <w:tc>
          <w:tcPr>
            <w:tcW w:w="226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实际支出数（万元）</w:t>
            </w:r>
          </w:p>
        </w:tc>
        <w:tc>
          <w:tcPr>
            <w:tcW w:w="226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执行率（%)</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预算总金额</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16122.28</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59.02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16181.3</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15673.02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96.86%</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基本支出</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950.46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178.44</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1128.9</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1128.9</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100.00%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项目支出</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15171.82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-119.42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15052.4</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14544.12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96.62%</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政策法规普及宣传经费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50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-20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30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29.25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97.50%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物业管理费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1.45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proofErr w:type="spellStart"/>
            <w:r>
              <w:rPr>
                <w:rFonts w:ascii="宋体" w:hAnsi="宋体" w:cs="宋体" w:hint="eastAsia"/>
                <w:sz w:val="24"/>
              </w:rPr>
              <w:t>NaN</w:t>
            </w:r>
            <w:proofErr w:type="spellEnd"/>
            <w:r>
              <w:rPr>
                <w:rFonts w:ascii="宋体" w:hAnsi="宋体" w:cs="宋体" w:hint="eastAsia"/>
                <w:sz w:val="24"/>
              </w:rPr>
              <w:t>%</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专设机构工作经费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100.00%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专项调研调查费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147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11.17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158.17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68.27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43.16%</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专项培训费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13.6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13.6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12.66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93.09%</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专项租赁费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7.25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-7.25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proofErr w:type="spellStart"/>
            <w:r>
              <w:rPr>
                <w:rFonts w:ascii="宋体" w:hAnsi="宋体" w:cs="宋体" w:hint="eastAsia"/>
                <w:sz w:val="24"/>
              </w:rPr>
              <w:t>NaN</w:t>
            </w:r>
            <w:proofErr w:type="spellEnd"/>
            <w:r>
              <w:rPr>
                <w:rFonts w:ascii="宋体" w:hAnsi="宋体" w:cs="宋体" w:hint="eastAsia"/>
                <w:sz w:val="24"/>
              </w:rPr>
              <w:t>%</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金融改革发展专项资金</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13328.05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1900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15228.05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14693.05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96.49%</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会议费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0.23</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23.00%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办公设备购置</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73.00%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lastRenderedPageBreak/>
              <w:t>信息化维护费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6.6</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6.58</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99.70%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 xml:space="preserve">评估、审计、认证费 </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13.12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32.45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45.57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45.57</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100.00%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金融监管工作补助经费</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1450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1450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1450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100.00%</w:t>
            </w:r>
          </w:p>
        </w:tc>
      </w:tr>
      <w:tr w:rsidR="00DE471B">
        <w:trPr>
          <w:trHeight w:val="540"/>
        </w:trPr>
        <w:tc>
          <w:tcPr>
            <w:tcW w:w="3079" w:type="dxa"/>
            <w:vAlign w:val="center"/>
          </w:tcPr>
          <w:p w:rsidR="00DE471B" w:rsidRDefault="006B572E">
            <w:pPr>
              <w:widowControl/>
              <w:jc w:val="left"/>
              <w:rPr>
                <w:rFonts w:ascii="宋体" w:hAnsi="宋体" w:cs="宋体"/>
                <w:kern w:val="0"/>
                <w:sz w:val="24"/>
              </w:rPr>
            </w:pPr>
            <w:r>
              <w:rPr>
                <w:rFonts w:ascii="宋体" w:hAnsi="宋体" w:cs="宋体" w:hint="eastAsia"/>
                <w:sz w:val="24"/>
              </w:rPr>
              <w:t>执法监督检查</w:t>
            </w:r>
          </w:p>
        </w:tc>
        <w:tc>
          <w:tcPr>
            <w:tcW w:w="2268" w:type="dxa"/>
            <w:vAlign w:val="center"/>
          </w:tcPr>
          <w:p w:rsidR="00DE471B" w:rsidRDefault="006B572E">
            <w:pPr>
              <w:widowControl/>
              <w:jc w:val="center"/>
              <w:rPr>
                <w:rFonts w:ascii="宋体" w:hAnsi="宋体" w:cs="宋体"/>
                <w:kern w:val="0"/>
                <w:sz w:val="24"/>
              </w:rPr>
            </w:pPr>
            <w:r>
              <w:rPr>
                <w:rFonts w:ascii="宋体" w:hAnsi="宋体" w:cs="宋体" w:hint="eastAsia"/>
                <w:sz w:val="24"/>
              </w:rPr>
              <w:t>138.35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-20</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118.35</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106.92</w:t>
            </w:r>
          </w:p>
        </w:tc>
        <w:tc>
          <w:tcPr>
            <w:tcW w:w="2268" w:type="dxa"/>
            <w:vAlign w:val="center"/>
          </w:tcPr>
          <w:p w:rsidR="00DE471B" w:rsidRDefault="006B572E">
            <w:pPr>
              <w:widowControl/>
              <w:jc w:val="center"/>
              <w:rPr>
                <w:rFonts w:ascii="宋体" w:hAnsi="宋体" w:cs="宋体"/>
                <w:sz w:val="24"/>
              </w:rPr>
            </w:pPr>
            <w:r>
              <w:rPr>
                <w:rFonts w:ascii="宋体" w:hAnsi="宋体" w:cs="宋体" w:hint="eastAsia"/>
                <w:sz w:val="24"/>
              </w:rPr>
              <w:t>90.34%</w:t>
            </w:r>
          </w:p>
        </w:tc>
      </w:tr>
    </w:tbl>
    <w:p w:rsidR="00DE471B" w:rsidRDefault="00DE471B">
      <w:pPr>
        <w:spacing w:line="360" w:lineRule="auto"/>
        <w:ind w:left="600"/>
        <w:rPr>
          <w:rFonts w:ascii="黑体" w:eastAsia="黑体" w:hAnsi="黑体"/>
          <w:sz w:val="30"/>
        </w:rPr>
      </w:pPr>
    </w:p>
    <w:p w:rsidR="00DE471B" w:rsidRDefault="006B572E">
      <w:pPr>
        <w:numPr>
          <w:ilvl w:val="0"/>
          <w:numId w:val="1"/>
        </w:numPr>
        <w:spacing w:line="360" w:lineRule="auto"/>
        <w:ind w:left="600"/>
        <w:rPr>
          <w:rFonts w:ascii="黑体" w:eastAsia="黑体" w:hAnsi="黑体"/>
          <w:sz w:val="30"/>
        </w:rPr>
      </w:pPr>
      <w:r>
        <w:rPr>
          <w:rFonts w:ascii="黑体" w:eastAsia="黑体" w:hAnsi="黑体" w:hint="eastAsia"/>
          <w:sz w:val="30"/>
        </w:rPr>
        <w:t>年度重点任务</w:t>
      </w:r>
    </w:p>
    <w:p w:rsidR="00DE471B" w:rsidRDefault="00DE471B">
      <w:pPr>
        <w:spacing w:line="360" w:lineRule="auto"/>
        <w:ind w:left="600"/>
        <w:rPr>
          <w:rFonts w:ascii="黑体" w:eastAsia="黑体" w:hAnsi="黑体"/>
          <w:sz w:val="30"/>
        </w:rPr>
      </w:pPr>
    </w:p>
    <w:tbl>
      <w:tblPr>
        <w:tblW w:w="13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19"/>
        <w:gridCol w:w="3818"/>
        <w:gridCol w:w="6280"/>
      </w:tblGrid>
      <w:tr w:rsidR="00DE471B">
        <w:trPr>
          <w:trHeight w:val="339"/>
        </w:trPr>
        <w:tc>
          <w:tcPr>
            <w:tcW w:w="3419" w:type="dxa"/>
            <w:shd w:val="clear" w:color="000000" w:fill="BFBFBF"/>
            <w:vAlign w:val="center"/>
          </w:tcPr>
          <w:p w:rsidR="00DE471B" w:rsidRDefault="00DE471B">
            <w:pPr>
              <w:widowControl/>
              <w:jc w:val="center"/>
              <w:rPr>
                <w:rFonts w:ascii="宋体" w:hAnsi="宋体" w:cs="宋体"/>
                <w:b/>
                <w:bCs/>
                <w:kern w:val="0"/>
                <w:sz w:val="24"/>
              </w:rPr>
            </w:pPr>
          </w:p>
          <w:p w:rsidR="00DE471B" w:rsidRDefault="006B572E">
            <w:pPr>
              <w:widowControl/>
              <w:jc w:val="center"/>
              <w:rPr>
                <w:rFonts w:ascii="宋体" w:hAnsi="宋体" w:cs="宋体"/>
                <w:b/>
                <w:bCs/>
                <w:kern w:val="0"/>
                <w:sz w:val="24"/>
              </w:rPr>
            </w:pPr>
            <w:r>
              <w:rPr>
                <w:rFonts w:ascii="宋体" w:hAnsi="宋体" w:cs="宋体" w:hint="eastAsia"/>
                <w:b/>
                <w:bCs/>
                <w:kern w:val="0"/>
                <w:sz w:val="24"/>
              </w:rPr>
              <w:t>对应部门主要职责</w:t>
            </w:r>
          </w:p>
          <w:p w:rsidR="00DE471B" w:rsidRDefault="00DE471B">
            <w:pPr>
              <w:widowControl/>
              <w:jc w:val="center"/>
              <w:rPr>
                <w:rFonts w:ascii="宋体" w:hAnsi="宋体" w:cs="宋体"/>
                <w:b/>
                <w:bCs/>
                <w:kern w:val="0"/>
                <w:sz w:val="24"/>
              </w:rPr>
            </w:pPr>
          </w:p>
        </w:tc>
        <w:tc>
          <w:tcPr>
            <w:tcW w:w="3818"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任务名称</w:t>
            </w:r>
          </w:p>
        </w:tc>
        <w:tc>
          <w:tcPr>
            <w:tcW w:w="6280"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kern w:val="0"/>
                <w:sz w:val="24"/>
              </w:rPr>
              <w:t>完成情况</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t>负责全市金融服务实体经济相关工作；建设综合金融服务体系</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t>组织金融机构与企业的对接交流,运用综合金融服务体系支持企业融资发展</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建设苏州企业金融服务超市。建设线上、线下相结合的苏州企业金融服务超市“苏企融”，线上服务平台累计支持超8.4万家企业融资超2.1万亿元，线下旗舰站累计举办组织举办各类金融服务活动24场，累计服务民营企业460余家。推动市本级、张家港市、昆山市3家民营企业金融服务中心入选全省首批民营企业金融服务中心。</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t>负责全市小额贷款公司、融资担保公司（含融资再担保公司）、典当行、融资租赁公司、商业保理公司的监督管理。</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t xml:space="preserve"> 进一步夯实地方金融监管基础，持续提升监管工作质效，持续推进行业合规经营</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全面加强地方金融监管。规范涉企行政检查工作，全年完成各类现场检查171家次，完成68家小贷、26家担保、26家典当、13家租赁、3家保理的监管评级和年审工作，对141家地方金融组织进行年度监管审计。梳理并正式公布首批78家“失联”“空壳”地方金融组织名单，通过监管约谈、上门劝导和部门协调监管等方式推动14家行业退出、</w:t>
            </w:r>
            <w:r>
              <w:rPr>
                <w:rFonts w:ascii="宋体" w:hAnsi="宋体" w:cs="宋体" w:hint="eastAsia"/>
                <w:sz w:val="24"/>
              </w:rPr>
              <w:lastRenderedPageBreak/>
              <w:t>46家列异，促进行业合规经营、减量增质。全年共办理各类行政审批、变更事项55件，其中行政许可事项10件、其他行政权力事项33件、登记会商事项3件、备案事项9件。</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lastRenderedPageBreak/>
              <w:t>推动地方金融改革和创新</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t>深化数字人民币试点，推动数字金融产业加速发展，创新推进各项改革举措</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持续推动数字人民币试点领跑。截至11月末，2025年交易金额4.9万亿元，累计超11万亿元，占全国总交易量超70%。场景创新深入扩大，“苏智合”预付资金监管平台覆盖8个行业1189家商户入驻，监管资金超2000万元； 货币桥交易200余笔，金额超73亿元，落地省内首笔双边模式数字人民币跨境支付；“东航</w:t>
            </w:r>
            <w:proofErr w:type="spellStart"/>
            <w:r>
              <w:rPr>
                <w:rFonts w:ascii="宋体" w:hAnsi="宋体" w:cs="宋体" w:hint="eastAsia"/>
                <w:sz w:val="24"/>
              </w:rPr>
              <w:t>SuzhouPass</w:t>
            </w:r>
            <w:proofErr w:type="spellEnd"/>
            <w:r>
              <w:rPr>
                <w:rFonts w:ascii="宋体" w:hAnsi="宋体" w:cs="宋体" w:hint="eastAsia"/>
                <w:sz w:val="24"/>
              </w:rPr>
              <w:t>联名卡”累计发卡1500张，“苏惠青年卡”累计申请6600人。开展数币分类分层培训161场次，覆盖6000余人次；发布15期“苏城数递”专项报道、31项创新场景案例和成果；完成2批32场次专项调研，第三批44场次调研工作正在有序推进。</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t>推动多层次资本市场建设，配合中央金融管理部门在苏分支机构规范发展全市上市公司</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t>抢抓资本市场改革机遇，开展资本市场培育工作</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上市工作创历史佳绩。通过“优机制、强培育、精服务”扎实推进上市服务，年内与证监部门、交易所沟通超30次；市县两级上市服务办走访调研上市及拟上市企业超200家次，协调解决各类问题超100项。紧跟资本市场新政，联合交易所及专业机构举办政策解读、实务培训及专题活动十余场，覆盖超800人次。今年以来，全市新增境内外上市公司17家，比上年同期翻倍。其中新增境内A股数量（9家）占全市场新增数量的10%，历史性排名全国大中城市当年新增A股数首位。全市境内外上市公司总数达282家，其中境内A股227家，保持全国前列。在审及申报企业储备充足，境内外共计32家。</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t>推动落实金融风险防范处置属地责任。组织协调有关部门依法做好防范和处置非法集资工</w:t>
            </w:r>
            <w:r>
              <w:rPr>
                <w:rFonts w:ascii="宋体" w:hAnsi="宋体" w:cs="宋体" w:hint="eastAsia"/>
                <w:sz w:val="24"/>
              </w:rPr>
              <w:lastRenderedPageBreak/>
              <w:t>作，承担市预防和打击和处置非法集资工作领导小组办公室的日常工作</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lastRenderedPageBreak/>
              <w:t>防范和处置非法集资行政执法工作及处非宣传</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扎实推进打击非法集资专项行动。1-11月，全市新立非法集资主办案件9起，案件数量、涉案金额、涉案人数分别同比下降33.3%、32.1%、62.3%，未发生涉案金额超亿元、</w:t>
            </w:r>
            <w:r>
              <w:rPr>
                <w:rFonts w:ascii="宋体" w:hAnsi="宋体" w:cs="宋体" w:hint="eastAsia"/>
                <w:sz w:val="24"/>
              </w:rPr>
              <w:lastRenderedPageBreak/>
              <w:t>涉案人数超千人案件。扎实推进网格化建设。部署推进防范非法金融活动工作站网格化建设工作，已建立运行220家防非工作站，实现各县（市）区全覆盖，通过“综治网格、公安警格、金融网格”三格联动。推进风险线索处置，对存在非法集资苗头的线索，及时进行警示约谈、联合检查，今年以来共计处置风险线索32件，其中举报线索27条，并对7件有效举报实施奖励。加大线下排查力度，各地各部门通过现场检查、集中排查、网格化巡查等形式常态化进行风险排查，各地共组织排查企业6.1万家次。</w:t>
            </w:r>
          </w:p>
        </w:tc>
      </w:tr>
      <w:tr w:rsidR="00DE471B">
        <w:trPr>
          <w:trHeight w:val="608"/>
        </w:trPr>
        <w:tc>
          <w:tcPr>
            <w:tcW w:w="3419" w:type="dxa"/>
            <w:vAlign w:val="center"/>
          </w:tcPr>
          <w:p w:rsidR="00DE471B" w:rsidRDefault="006B572E">
            <w:pPr>
              <w:widowControl/>
              <w:jc w:val="center"/>
              <w:rPr>
                <w:rFonts w:ascii="宋体" w:hAnsi="宋体" w:cs="宋体"/>
                <w:kern w:val="0"/>
                <w:sz w:val="24"/>
              </w:rPr>
            </w:pPr>
            <w:r>
              <w:rPr>
                <w:rFonts w:ascii="宋体" w:hAnsi="宋体" w:cs="宋体" w:hint="eastAsia"/>
                <w:sz w:val="24"/>
              </w:rPr>
              <w:lastRenderedPageBreak/>
              <w:t>组织统筹全市地方金融系统党的工作，指导全市地方金融系统党的建设，指导辖区地方国有金融企业和非公金融企业党建工作</w:t>
            </w:r>
          </w:p>
        </w:tc>
        <w:tc>
          <w:tcPr>
            <w:tcW w:w="3818" w:type="dxa"/>
            <w:vAlign w:val="center"/>
          </w:tcPr>
          <w:p w:rsidR="00DE471B" w:rsidRDefault="006B572E">
            <w:pPr>
              <w:widowControl/>
              <w:jc w:val="center"/>
              <w:rPr>
                <w:rFonts w:ascii="宋体" w:hAnsi="宋体" w:cs="宋体"/>
                <w:sz w:val="24"/>
              </w:rPr>
            </w:pPr>
            <w:r>
              <w:rPr>
                <w:rFonts w:ascii="宋体" w:hAnsi="宋体" w:cs="宋体" w:hint="eastAsia"/>
                <w:sz w:val="24"/>
              </w:rPr>
              <w:t>指导全市地方金融系统各级党组织加强基层组织建设，做好全市地方金融系统干部教育培训相关工作</w:t>
            </w:r>
          </w:p>
        </w:tc>
        <w:tc>
          <w:tcPr>
            <w:tcW w:w="6280" w:type="dxa"/>
            <w:vAlign w:val="center"/>
          </w:tcPr>
          <w:p w:rsidR="00DE471B" w:rsidRDefault="006B572E">
            <w:pPr>
              <w:widowControl/>
              <w:jc w:val="center"/>
              <w:rPr>
                <w:rFonts w:ascii="宋体" w:hAnsi="宋体" w:cs="宋体"/>
                <w:sz w:val="24"/>
              </w:rPr>
            </w:pPr>
            <w:r>
              <w:rPr>
                <w:rFonts w:ascii="宋体" w:hAnsi="宋体" w:cs="宋体" w:hint="eastAsia"/>
                <w:sz w:val="24"/>
              </w:rPr>
              <w:t>推动市县两级加强工作力量。针对机构改革后各地金融力量薄弱等问题，主动谋划作为，在对地方金融管理部门人员编制情况进行摸底调研的基础上，推动市县两级地方金融管理部门加挂“金融工作服务中心”牌子，增加力量配备。在全国率先成立市县（区）两级地方金融行业党组织，推动新兴领域党组织建设，成功举办苏州市地方金融行业党委成立暨江苏省金融服务实体经济专场活动苏州启动仪式。牵头组织全市45家金融机构成立全市金融网点暖“新”服务阵地353个，举行全市金融网点暖“新”服务联盟成立仪式，充分利用金融网点服务资源为全市24万新就业群体提供关爱服务。</w:t>
            </w:r>
          </w:p>
        </w:tc>
      </w:tr>
    </w:tbl>
    <w:p w:rsidR="00DE471B" w:rsidRDefault="00DE471B">
      <w:pPr>
        <w:spacing w:line="360" w:lineRule="auto"/>
        <w:ind w:left="600"/>
        <w:rPr>
          <w:rFonts w:ascii="黑体" w:eastAsia="黑体" w:hAnsi="黑体"/>
          <w:sz w:val="30"/>
        </w:rPr>
      </w:pPr>
    </w:p>
    <w:p w:rsidR="00DE471B" w:rsidRDefault="00DE471B">
      <w:pPr>
        <w:spacing w:line="360" w:lineRule="auto"/>
        <w:ind w:left="600"/>
        <w:rPr>
          <w:rFonts w:ascii="黑体" w:eastAsia="黑体" w:hAnsi="黑体"/>
          <w:sz w:val="30"/>
        </w:rPr>
      </w:pPr>
    </w:p>
    <w:p w:rsidR="00DE471B" w:rsidRDefault="006B572E">
      <w:pPr>
        <w:numPr>
          <w:ilvl w:val="0"/>
          <w:numId w:val="1"/>
        </w:numPr>
        <w:spacing w:line="360" w:lineRule="auto"/>
        <w:ind w:left="600"/>
        <w:rPr>
          <w:rFonts w:ascii="黑体" w:eastAsia="黑体" w:hAnsi="黑体"/>
          <w:sz w:val="30"/>
        </w:rPr>
      </w:pPr>
      <w:r>
        <w:rPr>
          <w:rFonts w:ascii="黑体" w:eastAsia="黑体" w:hAnsi="黑体" w:hint="eastAsia"/>
          <w:sz w:val="30"/>
        </w:rPr>
        <w:t>部门整体自评表</w:t>
      </w:r>
    </w:p>
    <w:tbl>
      <w:tblPr>
        <w:tblpPr w:leftFromText="180" w:rightFromText="180" w:vertAnchor="text" w:horzAnchor="page" w:tblpX="1656" w:tblpY="127"/>
        <w:tblOverlap w:val="never"/>
        <w:tblW w:w="14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7"/>
        <w:gridCol w:w="2051"/>
        <w:gridCol w:w="2061"/>
        <w:gridCol w:w="1987"/>
        <w:gridCol w:w="1799"/>
        <w:gridCol w:w="1866"/>
        <w:gridCol w:w="1787"/>
        <w:gridCol w:w="1071"/>
      </w:tblGrid>
      <w:tr w:rsidR="00DE471B" w:rsidTr="0011141B">
        <w:trPr>
          <w:trHeight w:val="339"/>
        </w:trPr>
        <w:tc>
          <w:tcPr>
            <w:tcW w:w="2067" w:type="dxa"/>
            <w:shd w:val="clear" w:color="000000" w:fill="BFBFBF"/>
            <w:vAlign w:val="center"/>
          </w:tcPr>
          <w:p w:rsidR="00DE471B" w:rsidRDefault="00DE471B">
            <w:pPr>
              <w:widowControl/>
              <w:jc w:val="center"/>
              <w:rPr>
                <w:rFonts w:ascii="宋体" w:hAnsi="宋体" w:cs="宋体"/>
                <w:b/>
                <w:bCs/>
                <w:kern w:val="0"/>
                <w:sz w:val="24"/>
              </w:rPr>
            </w:pPr>
          </w:p>
        </w:tc>
        <w:tc>
          <w:tcPr>
            <w:tcW w:w="2051"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sz w:val="24"/>
              </w:rPr>
              <w:t>类别</w:t>
            </w:r>
          </w:p>
        </w:tc>
        <w:tc>
          <w:tcPr>
            <w:tcW w:w="2061"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sz w:val="24"/>
              </w:rPr>
              <w:t>指标名称</w:t>
            </w:r>
          </w:p>
        </w:tc>
        <w:tc>
          <w:tcPr>
            <w:tcW w:w="1987"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sz w:val="24"/>
              </w:rPr>
              <w:t>指标目标值</w:t>
            </w:r>
          </w:p>
        </w:tc>
        <w:tc>
          <w:tcPr>
            <w:tcW w:w="1799"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sz w:val="24"/>
              </w:rPr>
              <w:t>指标完成值</w:t>
            </w:r>
          </w:p>
        </w:tc>
        <w:tc>
          <w:tcPr>
            <w:tcW w:w="1866" w:type="dxa"/>
            <w:shd w:val="clear" w:color="000000" w:fill="BFBFBF"/>
            <w:vAlign w:val="center"/>
          </w:tcPr>
          <w:p w:rsidR="00DE471B" w:rsidRDefault="006B572E">
            <w:pPr>
              <w:widowControl/>
              <w:jc w:val="center"/>
              <w:rPr>
                <w:rFonts w:ascii="宋体" w:hAnsi="宋体" w:cs="宋体"/>
                <w:b/>
                <w:bCs/>
                <w:kern w:val="0"/>
                <w:sz w:val="24"/>
              </w:rPr>
            </w:pPr>
            <w:r>
              <w:rPr>
                <w:rFonts w:ascii="宋体" w:hAnsi="宋体" w:cs="宋体" w:hint="eastAsia"/>
                <w:b/>
                <w:bCs/>
                <w:sz w:val="24"/>
              </w:rPr>
              <w:t>完成值来源</w:t>
            </w:r>
          </w:p>
        </w:tc>
        <w:tc>
          <w:tcPr>
            <w:tcW w:w="1787" w:type="dxa"/>
            <w:shd w:val="clear" w:color="000000" w:fill="BFBFBF"/>
            <w:vAlign w:val="center"/>
          </w:tcPr>
          <w:p w:rsidR="00DE471B" w:rsidRDefault="006B572E">
            <w:pPr>
              <w:widowControl/>
              <w:jc w:val="center"/>
              <w:rPr>
                <w:rFonts w:ascii="宋体" w:hAnsi="宋体" w:cs="宋体"/>
                <w:b/>
                <w:bCs/>
                <w:sz w:val="24"/>
              </w:rPr>
            </w:pPr>
            <w:r>
              <w:rPr>
                <w:rFonts w:ascii="宋体" w:hAnsi="宋体" w:cs="宋体" w:hint="eastAsia"/>
                <w:b/>
                <w:bCs/>
                <w:sz w:val="24"/>
              </w:rPr>
              <w:t>偏差情况</w:t>
            </w:r>
          </w:p>
        </w:tc>
        <w:tc>
          <w:tcPr>
            <w:tcW w:w="1071" w:type="dxa"/>
            <w:shd w:val="clear" w:color="000000" w:fill="BFBFBF"/>
          </w:tcPr>
          <w:p w:rsidR="00DE471B" w:rsidRDefault="006B572E">
            <w:pPr>
              <w:widowControl/>
              <w:jc w:val="center"/>
              <w:rPr>
                <w:rFonts w:ascii="黑体" w:eastAsia="黑体" w:hAnsi="黑体"/>
                <w:sz w:val="30"/>
              </w:rPr>
            </w:pPr>
            <w:r>
              <w:rPr>
                <w:rFonts w:ascii="宋体" w:hAnsi="宋体" w:cs="宋体" w:hint="eastAsia"/>
                <w:b/>
                <w:bCs/>
                <w:sz w:val="24"/>
              </w:rPr>
              <w:t>原因分析</w:t>
            </w:r>
          </w:p>
        </w:tc>
      </w:tr>
      <w:tr w:rsidR="00DE471B" w:rsidTr="0011141B">
        <w:trPr>
          <w:trHeight w:val="540"/>
        </w:trPr>
        <w:tc>
          <w:tcPr>
            <w:tcW w:w="2067" w:type="dxa"/>
            <w:vMerge w:val="restart"/>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lastRenderedPageBreak/>
              <w:t>分解目标</w:t>
            </w:r>
          </w:p>
        </w:tc>
        <w:tc>
          <w:tcPr>
            <w:tcW w:w="2051" w:type="dxa"/>
            <w:vMerge w:val="restart"/>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决策</w:t>
            </w: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工作计划制定健全性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工作计划等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中长期规划制定健全性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中长期规划等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绩效目标合理性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合理</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合理</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绩效目标表等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绩效指标明确性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明确</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明确</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绩效目标表等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预算编制科学性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科学</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科学</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年度预算报告等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预算编制规范性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年度预算报告等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restart"/>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过程</w:t>
            </w: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预决算信息公开度</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公开</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公开</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年度预决算公开数据等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绩效管理覆盖率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绩效管理相关材料</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非税收入管理合规性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收入管理制度等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资金使用合规性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资金支付材料等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基础信息完善性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完善</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完善</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年度预算报告等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预算管理制度健全性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资产管理规范性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资产管理台账等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固定资产利用率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资产管理台账等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资产管理制度健全性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资产管理台账等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项目管理制度健全性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项目管理制度等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项目管理制度执行规范性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项目管理制度等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人员管理制度健全性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人员管理制度等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在职人员控制率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人员管理制度等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人员管理制度执行有效性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人员管理制度等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组织建设工作及时完成率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组织建设工作报告等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纪检监察工作有效性</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纪检监察工作报告等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业务学习与培训及时完成率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业务培训通知等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政府采购执行率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政府采购相关材料、公开信息等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支付进度符合率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支付凭证、决算报告等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结转结余率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2.47%</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年末结转结余情况、决算报告等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071" w:type="dxa"/>
          </w:tcPr>
          <w:p w:rsidR="00DE471B" w:rsidRDefault="006B572E">
            <w:pPr>
              <w:spacing w:line="360" w:lineRule="auto"/>
              <w:rPr>
                <w:rFonts w:ascii="宋体" w:hAnsi="宋体" w:cs="宋体"/>
                <w:kern w:val="0"/>
                <w:sz w:val="22"/>
              </w:rPr>
            </w:pPr>
            <w:r>
              <w:rPr>
                <w:rFonts w:ascii="宋体" w:hAnsi="宋体" w:cs="宋体" w:hint="eastAsia"/>
                <w:sz w:val="24"/>
              </w:rPr>
              <w:t>年末结转400万元政府性融资担保</w:t>
            </w:r>
            <w:r>
              <w:rPr>
                <w:rFonts w:ascii="宋体" w:hAnsi="宋体" w:cs="宋体" w:hint="eastAsia"/>
                <w:sz w:val="24"/>
              </w:rPr>
              <w:lastRenderedPageBreak/>
              <w:t>奖励300万元、数字金融奖补100万元</w:t>
            </w: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公用经费控制率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&lt;=100%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支付凭证、决算报告等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预算调整率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0.37%</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预算调整申请材料等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071" w:type="dxa"/>
          </w:tcPr>
          <w:p w:rsidR="00DE471B" w:rsidRDefault="006B572E">
            <w:pPr>
              <w:spacing w:line="360" w:lineRule="auto"/>
              <w:rPr>
                <w:rFonts w:ascii="宋体" w:hAnsi="宋体" w:cs="宋体"/>
                <w:kern w:val="0"/>
                <w:sz w:val="22"/>
              </w:rPr>
            </w:pPr>
            <w:r>
              <w:rPr>
                <w:rFonts w:ascii="宋体" w:hAnsi="宋体" w:cs="宋体" w:hint="eastAsia"/>
                <w:sz w:val="24"/>
              </w:rPr>
              <w:t>根据要求，追加人员经费</w:t>
            </w: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非税收入预算完成率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非税收入预算、相关凭证等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预算偏差率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&lt;=10%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2.79%</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预算调整申请材料等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-72.10%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“三公经费”变动率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&lt;=0%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199.7%</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支付凭证、决算报告等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071" w:type="dxa"/>
          </w:tcPr>
          <w:p w:rsidR="00DE471B" w:rsidRDefault="006B572E">
            <w:pPr>
              <w:spacing w:line="360" w:lineRule="auto"/>
              <w:rPr>
                <w:rFonts w:ascii="宋体" w:hAnsi="宋体" w:cs="宋体"/>
                <w:kern w:val="0"/>
                <w:sz w:val="22"/>
              </w:rPr>
            </w:pPr>
            <w:r>
              <w:rPr>
                <w:rFonts w:ascii="宋体" w:hAnsi="宋体" w:cs="宋体" w:hint="eastAsia"/>
                <w:sz w:val="24"/>
              </w:rPr>
              <w:t>根据工作安排，</w:t>
            </w:r>
            <w:r>
              <w:rPr>
                <w:rFonts w:ascii="宋体" w:hAnsi="宋体" w:cs="宋体" w:hint="eastAsia"/>
                <w:sz w:val="24"/>
              </w:rPr>
              <w:lastRenderedPageBreak/>
              <w:t>本年开展6次出国（境）考察组团工作，共9人次，较去年增加8人次</w:t>
            </w: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预算执行率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支付凭证、决算报告等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restart"/>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效益</w:t>
            </w: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非法集资高发势头</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有效遏制</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有效遏制</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年度防范和打击非法金融活动工作情况报告</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合规地方金融机构家数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金融管理局网站公示名单</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累计注册综合金融服务平台企业数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全省第一</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全省第一</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省平台数据</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数字人民币交易量在全国排名</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全国前二</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全国前二</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人民银行数研所反馈数据</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境内上市公司数城市排名</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全国前六</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全国前六</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wind数据</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申报上市企业数量</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wind数据</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restart"/>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履职</w:t>
            </w: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金融创新项目奖励数量</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&gt;=25个</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16个</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办理意见</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-36.00%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开展防范金融风险专项宣传次数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&gt;=2次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宣传活动通知及苏州金融公众号</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定期召开金融风险防控四项机制工作会议次数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&gt;=4次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4次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会议通知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有效线索办结率</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非法集资举报</w:t>
            </w:r>
            <w:r>
              <w:rPr>
                <w:rFonts w:ascii="宋体" w:hAnsi="宋体" w:cs="宋体" w:hint="eastAsia"/>
                <w:sz w:val="24"/>
              </w:rPr>
              <w:lastRenderedPageBreak/>
              <w:t>奖励平台</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lastRenderedPageBreak/>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组织银企对接活动场次</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&gt;=1场</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1场</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活动通知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当年苏州市数字人民币交易量全国排名</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保持全国前二</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保持全国前二</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人民银行数研所反馈数据</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资本市场相关培训活动次数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&gt;=2次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培训通知及苏州金融公众号</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地方金融组织年度监管审计完成家数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&gt;=300家</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141家</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审计合同、审计报告等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-53.00%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组织第三方开展现场检查覆盖地方金融组织类型</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&gt;=7类</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7类</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审计合同等</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年末在江苏证监局网站公示的拟上市企业数量</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全省前三</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江苏证监局网站</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开展党性教育培</w:t>
            </w:r>
            <w:r>
              <w:rPr>
                <w:rFonts w:ascii="宋体" w:hAnsi="宋体" w:cs="宋体" w:hint="eastAsia"/>
                <w:sz w:val="24"/>
              </w:rPr>
              <w:lastRenderedPageBreak/>
              <w:t>训班次数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lastRenderedPageBreak/>
              <w:t>&gt;=2次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培训通知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金融机构落户（升格）奖励家数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&gt;=5家</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9家</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奖励兑付通知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80.00%</w:t>
            </w:r>
          </w:p>
        </w:tc>
        <w:tc>
          <w:tcPr>
            <w:tcW w:w="1071" w:type="dxa"/>
          </w:tcPr>
          <w:p w:rsidR="00DE471B" w:rsidRDefault="006B572E">
            <w:pPr>
              <w:spacing w:line="360" w:lineRule="auto"/>
              <w:rPr>
                <w:rFonts w:ascii="宋体" w:hAnsi="宋体" w:cs="宋体"/>
                <w:kern w:val="0"/>
                <w:sz w:val="22"/>
              </w:rPr>
            </w:pPr>
            <w:r>
              <w:rPr>
                <w:rFonts w:ascii="宋体" w:hAnsi="宋体" w:cs="宋体" w:hint="eastAsia"/>
                <w:sz w:val="24"/>
              </w:rPr>
              <w:t>较预期增加</w:t>
            </w: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金融服务载体补助数量</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=3家</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3家</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审计报告</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开展金融党建活动次数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&gt;=2次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2次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活动通知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组织第三方对地方金融组织开展专项检查次数</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&gt;=1次</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1次</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专项检查通知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开展综合金融服务体系推介活动场次</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&gt;=8场</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8场</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活动通知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r w:rsidR="00DE471B" w:rsidTr="0011141B">
        <w:trPr>
          <w:trHeight w:val="540"/>
        </w:trPr>
        <w:tc>
          <w:tcPr>
            <w:tcW w:w="2067" w:type="dxa"/>
            <w:vMerge/>
            <w:vAlign w:val="center"/>
          </w:tcPr>
          <w:p w:rsidR="00DE471B" w:rsidRDefault="00DE471B">
            <w:pPr>
              <w:spacing w:line="360" w:lineRule="auto"/>
              <w:jc w:val="center"/>
              <w:rPr>
                <w:rFonts w:ascii="宋体" w:hAnsi="宋体" w:cs="宋体"/>
                <w:kern w:val="0"/>
                <w:sz w:val="24"/>
              </w:rPr>
            </w:pPr>
          </w:p>
        </w:tc>
        <w:tc>
          <w:tcPr>
            <w:tcW w:w="2051" w:type="dxa"/>
            <w:vMerge/>
            <w:vAlign w:val="center"/>
          </w:tcPr>
          <w:p w:rsidR="00DE471B" w:rsidRDefault="00DE471B">
            <w:pPr>
              <w:spacing w:line="360" w:lineRule="auto"/>
              <w:jc w:val="center"/>
              <w:rPr>
                <w:rFonts w:ascii="宋体" w:hAnsi="宋体" w:cs="宋体"/>
                <w:kern w:val="0"/>
                <w:sz w:val="24"/>
              </w:rPr>
            </w:pPr>
          </w:p>
        </w:tc>
        <w:tc>
          <w:tcPr>
            <w:tcW w:w="2061"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防范金融风险专项宣传覆盖城区</w:t>
            </w:r>
          </w:p>
        </w:tc>
        <w:tc>
          <w:tcPr>
            <w:tcW w:w="19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&gt;=5个</w:t>
            </w:r>
          </w:p>
        </w:tc>
        <w:tc>
          <w:tcPr>
            <w:tcW w:w="1799"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5个</w:t>
            </w:r>
          </w:p>
        </w:tc>
        <w:tc>
          <w:tcPr>
            <w:tcW w:w="1866"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关于组织开展2025年全市防范非法集资集中宣传的通知</w:t>
            </w:r>
          </w:p>
        </w:tc>
        <w:tc>
          <w:tcPr>
            <w:tcW w:w="1787" w:type="dxa"/>
            <w:vAlign w:val="center"/>
          </w:tcPr>
          <w:p w:rsidR="00DE471B" w:rsidRDefault="006B572E">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DE471B" w:rsidRDefault="00DE471B">
            <w:pPr>
              <w:spacing w:line="360" w:lineRule="auto"/>
              <w:rPr>
                <w:rFonts w:ascii="宋体" w:hAnsi="宋体" w:cs="宋体"/>
                <w:kern w:val="0"/>
                <w:sz w:val="22"/>
              </w:rPr>
            </w:pPr>
          </w:p>
        </w:tc>
      </w:tr>
    </w:tbl>
    <w:p w:rsidR="00DE471B" w:rsidRDefault="00DE471B">
      <w:pPr>
        <w:spacing w:line="360" w:lineRule="auto"/>
        <w:ind w:left="600"/>
        <w:rPr>
          <w:rFonts w:ascii="黑体" w:eastAsia="黑体" w:hAnsi="黑体"/>
          <w:sz w:val="30"/>
        </w:rPr>
      </w:pPr>
    </w:p>
    <w:sectPr w:rsidR="00DE471B" w:rsidSect="00DE471B">
      <w:headerReference w:type="default" r:id="rId11"/>
      <w:footerReference w:type="default" r:id="rId12"/>
      <w:pgSz w:w="16840" w:h="11907" w:orient="landscape"/>
      <w:pgMar w:top="1559" w:right="1247" w:bottom="1400" w:left="1089" w:header="851" w:footer="992" w:gutter="0"/>
      <w:paperSrc w:first="15" w:other="15"/>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71B" w:rsidRDefault="00DE471B" w:rsidP="00DE471B">
      <w:r>
        <w:separator/>
      </w:r>
    </w:p>
  </w:endnote>
  <w:endnote w:type="continuationSeparator" w:id="1">
    <w:p w:rsidR="00DE471B" w:rsidRDefault="00DE471B" w:rsidP="00DE47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altName w:val="宋体"/>
    <w:panose1 w:val="00000000000000000000"/>
    <w:charset w:val="86"/>
    <w:family w:val="roman"/>
    <w:notTrueType/>
    <w:pitch w:val="default"/>
    <w:sig w:usb0="00000000" w:usb1="00000000" w:usb2="00000000" w:usb3="00000000" w:csb0="00000000" w:csb1="00000000"/>
  </w:font>
  <w:font w:name="等线">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106000">
    <w:pPr>
      <w:pStyle w:val="a4"/>
      <w:framePr w:wrap="around" w:vAnchor="text" w:hAnchor="margin" w:xAlign="center" w:y="1"/>
      <w:rPr>
        <w:rStyle w:val="a7"/>
      </w:rPr>
    </w:pPr>
    <w:r>
      <w:fldChar w:fldCharType="begin"/>
    </w:r>
    <w:r w:rsidR="006B572E">
      <w:rPr>
        <w:rStyle w:val="a7"/>
      </w:rPr>
      <w:instrText xml:space="preserve">PAGE  </w:instrText>
    </w:r>
    <w:r>
      <w:fldChar w:fldCharType="end"/>
    </w:r>
  </w:p>
  <w:p w:rsidR="00DE471B" w:rsidRDefault="00DE471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106000">
    <w:pPr>
      <w:pStyle w:val="a4"/>
      <w:framePr w:wrap="around" w:vAnchor="text" w:hAnchor="margin" w:xAlign="center" w:y="1"/>
      <w:rPr>
        <w:rStyle w:val="a7"/>
      </w:rPr>
    </w:pPr>
    <w:r>
      <w:fldChar w:fldCharType="begin"/>
    </w:r>
    <w:r w:rsidR="006B572E">
      <w:rPr>
        <w:rStyle w:val="a7"/>
      </w:rPr>
      <w:instrText xml:space="preserve">PAGE  </w:instrText>
    </w:r>
    <w:r>
      <w:fldChar w:fldCharType="separate"/>
    </w:r>
    <w:r w:rsidR="00B41B60">
      <w:rPr>
        <w:rStyle w:val="a7"/>
        <w:noProof/>
      </w:rPr>
      <w:t>4</w:t>
    </w:r>
    <w:r>
      <w:fldChar w:fldCharType="end"/>
    </w:r>
  </w:p>
  <w:p w:rsidR="00DE471B" w:rsidRDefault="00DE471B">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106000">
    <w:pPr>
      <w:pStyle w:val="a4"/>
      <w:framePr w:wrap="around" w:vAnchor="text" w:hAnchor="margin" w:xAlign="center" w:y="1"/>
      <w:rPr>
        <w:rStyle w:val="a7"/>
      </w:rPr>
    </w:pPr>
    <w:r>
      <w:fldChar w:fldCharType="begin"/>
    </w:r>
    <w:r w:rsidR="006B572E">
      <w:rPr>
        <w:rStyle w:val="a7"/>
      </w:rPr>
      <w:instrText xml:space="preserve">PAGE  </w:instrText>
    </w:r>
    <w:r>
      <w:fldChar w:fldCharType="separate"/>
    </w:r>
    <w:r w:rsidR="00B41B60">
      <w:rPr>
        <w:rStyle w:val="a7"/>
        <w:noProof/>
      </w:rPr>
      <w:t>7</w:t>
    </w:r>
    <w:r>
      <w:fldChar w:fldCharType="end"/>
    </w:r>
  </w:p>
  <w:p w:rsidR="00DE471B" w:rsidRDefault="00DE471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71B" w:rsidRDefault="00DE471B" w:rsidP="00DE471B">
      <w:r>
        <w:separator/>
      </w:r>
    </w:p>
  </w:footnote>
  <w:footnote w:type="continuationSeparator" w:id="1">
    <w:p w:rsidR="00DE471B" w:rsidRDefault="00DE471B" w:rsidP="00DE47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DE471B">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DE471B">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1B" w:rsidRDefault="00DE471B">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7BB9F1"/>
    <w:multiLevelType w:val="singleLevel"/>
    <w:tmpl w:val="5D7BB9F1"/>
    <w:lvl w:ilvl="0">
      <w:start w:val="7"/>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773E9"/>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000"/>
    <w:rsid w:val="00106E72"/>
    <w:rsid w:val="0011141B"/>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72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04C9A"/>
    <w:rsid w:val="00B13870"/>
    <w:rsid w:val="00B1500D"/>
    <w:rsid w:val="00B1629F"/>
    <w:rsid w:val="00B1672F"/>
    <w:rsid w:val="00B30486"/>
    <w:rsid w:val="00B3494F"/>
    <w:rsid w:val="00B41B60"/>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5660F"/>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471B"/>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471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sid w:val="00DE471B"/>
    <w:rPr>
      <w:sz w:val="18"/>
      <w:szCs w:val="18"/>
    </w:rPr>
  </w:style>
  <w:style w:type="paragraph" w:styleId="a4">
    <w:name w:val="footer"/>
    <w:basedOn w:val="a"/>
    <w:link w:val="Char"/>
    <w:qFormat/>
    <w:rsid w:val="00DE471B"/>
    <w:pPr>
      <w:tabs>
        <w:tab w:val="center" w:pos="4153"/>
        <w:tab w:val="right" w:pos="8306"/>
      </w:tabs>
      <w:snapToGrid w:val="0"/>
      <w:jc w:val="left"/>
    </w:pPr>
    <w:rPr>
      <w:sz w:val="18"/>
      <w:szCs w:val="18"/>
    </w:rPr>
  </w:style>
  <w:style w:type="paragraph" w:styleId="a5">
    <w:name w:val="header"/>
    <w:basedOn w:val="a"/>
    <w:link w:val="Char0"/>
    <w:qFormat/>
    <w:rsid w:val="00DE471B"/>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DE471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DE471B"/>
  </w:style>
  <w:style w:type="character" w:styleId="a8">
    <w:name w:val="Hyperlink"/>
    <w:qFormat/>
    <w:rsid w:val="00DE471B"/>
    <w:rPr>
      <w:color w:val="0000FF"/>
      <w:u w:val="single"/>
    </w:rPr>
  </w:style>
  <w:style w:type="character" w:customStyle="1" w:styleId="1">
    <w:name w:val="已访问的超链接1"/>
    <w:qFormat/>
    <w:rsid w:val="00DE471B"/>
    <w:rPr>
      <w:color w:val="800080"/>
      <w:u w:val="single"/>
    </w:rPr>
  </w:style>
  <w:style w:type="character" w:customStyle="1" w:styleId="Char0">
    <w:name w:val="页眉 Char"/>
    <w:link w:val="a5"/>
    <w:qFormat/>
    <w:rsid w:val="00DE471B"/>
    <w:rPr>
      <w:kern w:val="2"/>
      <w:sz w:val="18"/>
      <w:szCs w:val="18"/>
    </w:rPr>
  </w:style>
  <w:style w:type="character" w:customStyle="1" w:styleId="Char">
    <w:name w:val="页脚 Char"/>
    <w:link w:val="a4"/>
    <w:qFormat/>
    <w:rsid w:val="00DE471B"/>
    <w:rPr>
      <w:kern w:val="2"/>
      <w:sz w:val="18"/>
      <w:szCs w:val="18"/>
    </w:rPr>
  </w:style>
  <w:style w:type="paragraph" w:customStyle="1" w:styleId="21">
    <w:name w:val="目录 21"/>
    <w:basedOn w:val="a"/>
    <w:next w:val="a"/>
    <w:uiPriority w:val="39"/>
    <w:qFormat/>
    <w:rsid w:val="00DE471B"/>
    <w:pPr>
      <w:tabs>
        <w:tab w:val="right" w:leader="dot" w:pos="8494"/>
      </w:tabs>
      <w:spacing w:line="560" w:lineRule="exact"/>
      <w:ind w:left="210"/>
      <w:jc w:val="left"/>
    </w:pPr>
    <w:rPr>
      <w:rFonts w:ascii="仿宋_GB2312" w:eastAsia="仿宋_GB2312" w:hAnsi="Calibri" w:cs="Calibri"/>
      <w:smallCaps/>
      <w:sz w:val="28"/>
      <w:szCs w:val="28"/>
    </w:rPr>
  </w:style>
  <w:style w:type="paragraph" w:customStyle="1" w:styleId="11">
    <w:name w:val="目录 11"/>
    <w:basedOn w:val="a"/>
    <w:next w:val="a"/>
    <w:uiPriority w:val="39"/>
    <w:qFormat/>
    <w:rsid w:val="00DE471B"/>
    <w:pPr>
      <w:tabs>
        <w:tab w:val="left" w:pos="840"/>
        <w:tab w:val="right" w:leader="dot" w:pos="8296"/>
      </w:tabs>
      <w:spacing w:line="560" w:lineRule="exact"/>
      <w:jc w:val="left"/>
    </w:pPr>
    <w:rPr>
      <w:rFonts w:ascii="仿宋_GB2312" w:eastAsia="仿宋_GB2312" w:hAnsi="新宋体" w:cs="Calibri"/>
      <w:b/>
      <w:bCs/>
      <w:caps/>
      <w:sz w:val="28"/>
      <w:szCs w:val="28"/>
    </w:rPr>
  </w:style>
  <w:style w:type="paragraph" w:customStyle="1" w:styleId="CharCharCharCharCharCharChar">
    <w:name w:val="Char Char Char Char Char Char Char"/>
    <w:basedOn w:val="a"/>
    <w:qFormat/>
    <w:rsid w:val="00DE471B"/>
    <w:rPr>
      <w:szCs w:val="21"/>
    </w:rPr>
  </w:style>
  <w:style w:type="paragraph" w:customStyle="1" w:styleId="10">
    <w:name w:val="列出段落1"/>
    <w:basedOn w:val="a"/>
    <w:uiPriority w:val="34"/>
    <w:qFormat/>
    <w:rsid w:val="00DE471B"/>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7345</Words>
  <Characters>1495</Characters>
  <Application>Microsoft Office Word</Application>
  <DocSecurity>0</DocSecurity>
  <Lines>12</Lines>
  <Paragraphs>17</Paragraphs>
  <ScaleCrop>false</ScaleCrop>
  <Company>czj</Company>
  <LinksUpToDate>false</LinksUpToDate>
  <CharactersWithSpaces>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关于进行本市部门整体支出</dc:title>
  <dc:creator>傅海英</dc:creator>
  <cp:lastModifiedBy>dell</cp:lastModifiedBy>
  <cp:revision>2</cp:revision>
  <cp:lastPrinted>2019-06-21T02:10:00Z</cp:lastPrinted>
  <dcterms:created xsi:type="dcterms:W3CDTF">2026-09-20T09:02:00Z</dcterms:created>
  <dcterms:modified xsi:type="dcterms:W3CDTF">2026-09-20T09:02:00Z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