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苏州市长三角数字金融产业研究中心</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一）持续强化党建引领，干部队伍建设全面加强。1、持续深化理论学习，筑牢思想政治根基。深入践行习近平总书记关于金融工作的重要论述。发放《习近平关于金融工作论述摘编》《习近平关于加强党的作风建设论述摘编》《习近平谈治国理政》等学习材料，鼓励全体干部自觉学、主动学，强化政治意识，锻强理论头脑。常态化组织学习中央、省、市各项政策文件精神，推动理论学习走深走实。2、规范开展党性活动，锤炼过硬纪律作风。深入贯彻中央八项规定精神学习教育，积极组织参加主题党日等活动。通过集中学习、专题研讨、谈心谈话、案例剖析等形式，开展“以案为鉴，坚决纠治违规吃喝”专题组织生活会，引导全体成员强化纪律意识、严守规矩底线。开展青年读书分享会、参与财税金融青年党建共建活动。系统学习中央经济工作会议、中央金融工作会议精神，深刻领会“五篇大文章”战略部署，组建“数字金融”党员先锋服务队，参与“政策赋能 数字人民币试点提质增效”党建引领专项行动，将党的创新理论融入数字金融创新等具体工作。3、加强中心干部队伍建设，激发干事创业活力。本年度通过公开招聘新招录4人，进一步充实骨干力量，激发队伍活力。围绕数字金融、绿色金融、科技金融领域形成调研报告多篇，并汇编成册，促进干部专业素养与实际能力双提升。（二）数字金融纵深推进，保持全国领先。1、数字人民币试点居全国前列。推动数字人民币试点工作走深走实，各项指标继续保持全国前列。2025年全年，全市数字人民币累计交易量达6万亿元，发放数字人民币贷款5520亿元，消费交易金额31.5亿元。自开展数币试点以来，全市累计交易量12.9万亿元。2、宣传培训覆盖面持续扩大。宣传方面，在“苏州金融”公众号推出“苏城‘数’递”数字人民币系列专项报道，累计发布19期。培训方面，开展数字金融理论知识培训，组织金融机构骨干赴高校参加数字金融专题培训，打造专业化人才队伍；开展数字人民币业务领域培训，参训总人数达6000人次。此外，组织市级部门开展全市数字人民币调研，累计开展多批专题调研，破解试点难点问题。（三）提升苏州金融品牌，优化金融服务生态。1、举办重大活动彰显品牌影响力。筹办数字金融高质量发展大会暨首届阳澄湖金融创新周、外资金融机构苏州行等金融领域重点活动，组织金融机构参加市级重点产业领域专题大会，展示苏州金融发展成果，促进产融对接。2、金融服务提质增效。在小微金融服务创新方面，赴温州考察小微企业融资协调机制，深入学习当地服务中小微企业的实践经验，完善苏州综合金融服务体系建设；在绿色金融发展方面，完善基础研究，编制《苏州市绿色金融发展白皮书》，梳理发展成效与未来路径。3、深化对外交流学习。立足金融发展实际需求，扎实推进对外交流学习，拓展区域合作网络，先后赴北京、上海等城市，参与行业论坛及会展活动，系统学习先进地区在会展策划、产业生态构建等方面的成熟经验，为优化本地金融活动组织提供有益借鉴。</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长三角数字金融产业研究中心是中共苏州市委金融委员会办公室下属事业单位，在履行职责过程中坚持和加强党对地方金融工作的集中统一领导。承担推进苏州市数字金融产业发展相关事务性工作；承担数字人民币试点全市范围的推广、政策指导，招引各大银行数字人民币业务总部机构、研发机构等创新载体；承担市级金融信息系统的运行维护及管理工作，配合完善金融基础设施建设；建立金融机构和企业的常态化对接合作机制，提供政策咨询、业务培训、融资对接等综合性金融服务；承担金融从业人员教育培训和金融人才发展的相关服务工作；联动各交易所苏州基地，为全市上市后备企业开展专业化、体系化、精准化的 政策指导、管理咨询、培训和对接服务；承担上市企业的资本市场服务工作；承担市级金融网站、新媒体建设工作；协同支持相关部门、各县级市（区）开展金融招商，协调资源支持金融企业落户；完成上级交办的其他任务。</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一）预算绩效管理方面。坚持“总量控制、计划管理”原则，预算编制更加注重精细化与科学性，做到依据充分、科目准确、标准明确。执行过程中，强化绩效目标与预算安排“双监控”，实现资金拨付与绩效进度相匹配，推动预算执行均衡有序。绩效信息按规定公开，财政支出透明度和社会公信力进一步增强。（二）财务管理和资金使用方面。严格落实预算管理制度，坚持先有预算、后有支出。内部控制体系运行顺畅，关键岗位职责清晰，重点环节管控到位。各类支出严格按预算科目规范列支，支出凭证真实合规，资金使用安全高效。（三）政府采购和资产管理方面。政府采购严格执行法定程序，采购程序规范透明。资产管理方面，严格落实资产配置预算，资产购置、使用、处置各环节手续完备。扎实开展资产清查盘点，做到账实相符、账卡相符，资产管理基础进一步夯实。资产调剂调配机制有效运行，推动存量资产盘活利用，实现资产高效使用、安全完整。</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一）主要问题及原因分析：部分项目预算执行率不高。（二）改进的方向和具体措施：1.提高预算编制精准度。充分对接年度重点工作计划，将预算细化到具体项目和实施节点，确保资金安排与工作节奏相匹配，进一步从源头上减少资金沉淀。2.增强预算执行协同性。进一步完善财务与业务的信息互通机制，动态跟踪项目进展，提前做好资金支付准备。持续加强沟通协调，确保条件具备后能及时形成支出。</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本单位将进一步深化预算绩效管理改革，推动预算与绩效管理深度融合，持续提升财政资源配置效率和使用效益。（一）科学编报绩效目标，压实绩效主体责任。紧密结合下一年度预算安排与重点工作任务，精准编制绩效目标，细化量化指标，确保目标可评可测。（二）强化全过程绩效管理，提升预算执行质效。督促各部门增强绩效意识，提前谋划、有序推进项目实施，合理安排支付进度，加强执行监督，确保各项绩效目标有效落实。（三）严格落实绩效信息公开，依规接受社会监督。按照市财政局统一部署，按时、规范、完整开展绩效自评结果及绩效目标公开工作，不断提升信息透明度。</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456.78</w:t>
            </w:r>
          </w:p>
        </w:tc>
        <w:tc>
          <w:tcPr>
            <w:tcW w:w="2268" w:type="dxa"/>
            <w:vAlign w:val="center"/>
          </w:tcPr>
          <w:p>
            <w:pPr>
              <w:widowControl/>
              <w:jc w:val="center"/>
              <w:rPr>
                <w:rFonts w:ascii="宋体" w:hAnsi="宋体" w:cs="宋体"/>
                <w:sz w:val="24"/>
              </w:rPr>
            </w:pPr>
            <w:r>
              <w:rPr>
                <w:rFonts w:hint="eastAsia" w:ascii="宋体" w:hAnsi="宋体" w:cs="宋体"/>
                <w:sz w:val="24"/>
              </w:rPr>
              <w:t>115.5</w:t>
            </w:r>
          </w:p>
        </w:tc>
        <w:tc>
          <w:tcPr>
            <w:tcW w:w="2268" w:type="dxa"/>
            <w:vAlign w:val="center"/>
          </w:tcPr>
          <w:p>
            <w:pPr>
              <w:widowControl/>
              <w:jc w:val="center"/>
              <w:rPr>
                <w:rFonts w:ascii="宋体" w:hAnsi="宋体" w:cs="宋体"/>
                <w:sz w:val="24"/>
              </w:rPr>
            </w:pPr>
            <w:r>
              <w:rPr>
                <w:rFonts w:hint="eastAsia" w:ascii="宋体" w:hAnsi="宋体" w:cs="宋体"/>
                <w:sz w:val="24"/>
              </w:rPr>
              <w:t>572.28</w:t>
            </w:r>
          </w:p>
        </w:tc>
        <w:tc>
          <w:tcPr>
            <w:tcW w:w="2268" w:type="dxa"/>
            <w:vAlign w:val="center"/>
          </w:tcPr>
          <w:p>
            <w:pPr>
              <w:widowControl/>
              <w:jc w:val="center"/>
              <w:rPr>
                <w:rFonts w:ascii="宋体" w:hAnsi="宋体" w:cs="宋体"/>
                <w:sz w:val="24"/>
              </w:rPr>
            </w:pPr>
            <w:r>
              <w:rPr>
                <w:rFonts w:hint="eastAsia" w:ascii="宋体" w:hAnsi="宋体" w:cs="宋体"/>
                <w:sz w:val="24"/>
              </w:rPr>
              <w:t>530.22</w:t>
            </w:r>
          </w:p>
        </w:tc>
        <w:tc>
          <w:tcPr>
            <w:tcW w:w="2268" w:type="dxa"/>
            <w:vAlign w:val="center"/>
          </w:tcPr>
          <w:p>
            <w:pPr>
              <w:widowControl/>
              <w:jc w:val="center"/>
              <w:rPr>
                <w:rFonts w:ascii="宋体" w:hAnsi="宋体" w:cs="宋体"/>
                <w:sz w:val="24"/>
              </w:rPr>
            </w:pPr>
            <w:r>
              <w:rPr>
                <w:rFonts w:hint="eastAsia" w:ascii="宋体" w:hAnsi="宋体" w:cs="宋体"/>
                <w:sz w:val="24"/>
              </w:rPr>
              <w:t>92.65%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336.36</w:t>
            </w:r>
          </w:p>
        </w:tc>
        <w:tc>
          <w:tcPr>
            <w:tcW w:w="2268" w:type="dxa"/>
            <w:vAlign w:val="center"/>
          </w:tcPr>
          <w:p>
            <w:pPr>
              <w:widowControl/>
              <w:jc w:val="center"/>
              <w:rPr>
                <w:rFonts w:ascii="宋体" w:hAnsi="宋体" w:cs="宋体"/>
                <w:sz w:val="24"/>
              </w:rPr>
            </w:pPr>
            <w:r>
              <w:rPr>
                <w:rFonts w:hint="eastAsia" w:ascii="宋体" w:hAnsi="宋体" w:cs="宋体"/>
                <w:sz w:val="24"/>
              </w:rPr>
              <w:t>121.66</w:t>
            </w:r>
          </w:p>
        </w:tc>
        <w:tc>
          <w:tcPr>
            <w:tcW w:w="2268" w:type="dxa"/>
            <w:vAlign w:val="center"/>
          </w:tcPr>
          <w:p>
            <w:pPr>
              <w:widowControl/>
              <w:jc w:val="center"/>
              <w:rPr>
                <w:rFonts w:ascii="宋体" w:hAnsi="宋体" w:cs="宋体"/>
                <w:sz w:val="24"/>
              </w:rPr>
            </w:pPr>
            <w:r>
              <w:rPr>
                <w:rFonts w:hint="eastAsia" w:ascii="宋体" w:hAnsi="宋体" w:cs="宋体"/>
                <w:sz w:val="24"/>
              </w:rPr>
              <w:t>458.02</w:t>
            </w:r>
          </w:p>
        </w:tc>
        <w:tc>
          <w:tcPr>
            <w:tcW w:w="2268" w:type="dxa"/>
            <w:vAlign w:val="center"/>
          </w:tcPr>
          <w:p>
            <w:pPr>
              <w:widowControl/>
              <w:jc w:val="center"/>
              <w:rPr>
                <w:rFonts w:ascii="宋体" w:hAnsi="宋体" w:cs="宋体"/>
                <w:sz w:val="24"/>
              </w:rPr>
            </w:pPr>
            <w:r>
              <w:rPr>
                <w:rFonts w:hint="eastAsia" w:ascii="宋体" w:hAnsi="宋体" w:cs="宋体"/>
                <w:sz w:val="24"/>
              </w:rPr>
              <w:t>442.06</w:t>
            </w:r>
          </w:p>
        </w:tc>
        <w:tc>
          <w:tcPr>
            <w:tcW w:w="2268" w:type="dxa"/>
            <w:vAlign w:val="center"/>
          </w:tcPr>
          <w:p>
            <w:pPr>
              <w:widowControl/>
              <w:jc w:val="center"/>
              <w:rPr>
                <w:rFonts w:ascii="宋体" w:hAnsi="宋体" w:cs="宋体"/>
                <w:sz w:val="24"/>
              </w:rPr>
            </w:pPr>
            <w:r>
              <w:rPr>
                <w:rFonts w:hint="eastAsia" w:ascii="宋体" w:hAnsi="宋体" w:cs="宋体"/>
                <w:sz w:val="24"/>
              </w:rPr>
              <w:t>96.52%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120.42</w:t>
            </w:r>
          </w:p>
        </w:tc>
        <w:tc>
          <w:tcPr>
            <w:tcW w:w="2268" w:type="dxa"/>
            <w:vAlign w:val="center"/>
          </w:tcPr>
          <w:p>
            <w:pPr>
              <w:widowControl/>
              <w:jc w:val="center"/>
              <w:rPr>
                <w:rFonts w:ascii="宋体" w:hAnsi="宋体" w:cs="宋体"/>
                <w:sz w:val="24"/>
              </w:rPr>
            </w:pPr>
            <w:r>
              <w:rPr>
                <w:rFonts w:hint="eastAsia" w:ascii="宋体" w:hAnsi="宋体" w:cs="宋体"/>
                <w:sz w:val="24"/>
              </w:rPr>
              <w:t>-6.16</w:t>
            </w:r>
          </w:p>
        </w:tc>
        <w:tc>
          <w:tcPr>
            <w:tcW w:w="2268" w:type="dxa"/>
            <w:vAlign w:val="center"/>
          </w:tcPr>
          <w:p>
            <w:pPr>
              <w:widowControl/>
              <w:jc w:val="center"/>
              <w:rPr>
                <w:rFonts w:ascii="宋体" w:hAnsi="宋体" w:cs="宋体"/>
                <w:sz w:val="24"/>
              </w:rPr>
            </w:pPr>
            <w:r>
              <w:rPr>
                <w:rFonts w:hint="eastAsia" w:ascii="宋体" w:hAnsi="宋体" w:cs="宋体"/>
                <w:sz w:val="24"/>
              </w:rPr>
              <w:t>114.26</w:t>
            </w:r>
          </w:p>
        </w:tc>
        <w:tc>
          <w:tcPr>
            <w:tcW w:w="2268" w:type="dxa"/>
            <w:vAlign w:val="center"/>
          </w:tcPr>
          <w:p>
            <w:pPr>
              <w:widowControl/>
              <w:jc w:val="center"/>
              <w:rPr>
                <w:rFonts w:ascii="宋体" w:hAnsi="宋体" w:cs="宋体"/>
                <w:sz w:val="24"/>
              </w:rPr>
            </w:pPr>
            <w:r>
              <w:rPr>
                <w:rFonts w:hint="eastAsia" w:ascii="宋体" w:hAnsi="宋体" w:cs="宋体"/>
                <w:sz w:val="24"/>
              </w:rPr>
              <w:t>88.16</w:t>
            </w:r>
          </w:p>
        </w:tc>
        <w:tc>
          <w:tcPr>
            <w:tcW w:w="2268" w:type="dxa"/>
            <w:vAlign w:val="center"/>
          </w:tcPr>
          <w:p>
            <w:pPr>
              <w:widowControl/>
              <w:jc w:val="center"/>
              <w:rPr>
                <w:rFonts w:ascii="宋体" w:hAnsi="宋体" w:cs="宋体"/>
                <w:sz w:val="24"/>
              </w:rPr>
            </w:pPr>
            <w:r>
              <w:rPr>
                <w:rFonts w:hint="eastAsia" w:ascii="宋体" w:hAnsi="宋体" w:cs="宋体"/>
                <w:sz w:val="24"/>
              </w:rPr>
              <w:t>77.16%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专项调研费</w:t>
            </w:r>
          </w:p>
        </w:tc>
        <w:tc>
          <w:tcPr>
            <w:tcW w:w="2268" w:type="dxa"/>
            <w:vAlign w:val="center"/>
          </w:tcPr>
          <w:p>
            <w:pPr>
              <w:widowControl/>
              <w:jc w:val="center"/>
              <w:rPr>
                <w:rFonts w:ascii="宋体" w:hAnsi="宋体" w:cs="宋体"/>
                <w:kern w:val="0"/>
                <w:sz w:val="24"/>
              </w:rPr>
            </w:pPr>
            <w:r>
              <w:rPr>
                <w:rFonts w:hint="eastAsia" w:ascii="宋体" w:hAnsi="宋体" w:cs="宋体"/>
                <w:sz w:val="24"/>
              </w:rPr>
              <w:t>66.5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66.5</w:t>
            </w:r>
          </w:p>
        </w:tc>
        <w:tc>
          <w:tcPr>
            <w:tcW w:w="2268" w:type="dxa"/>
            <w:vAlign w:val="center"/>
          </w:tcPr>
          <w:p>
            <w:pPr>
              <w:widowControl/>
              <w:jc w:val="center"/>
              <w:rPr>
                <w:rFonts w:ascii="宋体" w:hAnsi="宋体" w:cs="宋体"/>
                <w:sz w:val="24"/>
              </w:rPr>
            </w:pPr>
            <w:r>
              <w:rPr>
                <w:rFonts w:hint="eastAsia" w:ascii="宋体" w:hAnsi="宋体" w:cs="宋体"/>
                <w:sz w:val="24"/>
              </w:rPr>
              <w:t>51.04</w:t>
            </w:r>
          </w:p>
        </w:tc>
        <w:tc>
          <w:tcPr>
            <w:tcW w:w="2268" w:type="dxa"/>
            <w:vAlign w:val="center"/>
          </w:tcPr>
          <w:p>
            <w:pPr>
              <w:widowControl/>
              <w:jc w:val="center"/>
              <w:rPr>
                <w:rFonts w:ascii="宋体" w:hAnsi="宋体" w:cs="宋体"/>
                <w:sz w:val="24"/>
              </w:rPr>
            </w:pPr>
            <w:r>
              <w:rPr>
                <w:rFonts w:hint="eastAsia" w:ascii="宋体" w:hAnsi="宋体" w:cs="宋体"/>
                <w:sz w:val="24"/>
              </w:rPr>
              <w:t>76.75%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2.7</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2.7</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会议费</w:t>
            </w:r>
          </w:p>
        </w:tc>
        <w:tc>
          <w:tcPr>
            <w:tcW w:w="2268" w:type="dxa"/>
            <w:vAlign w:val="center"/>
          </w:tcPr>
          <w:p>
            <w:pPr>
              <w:widowControl/>
              <w:jc w:val="center"/>
              <w:rPr>
                <w:rFonts w:ascii="宋体" w:hAnsi="宋体" w:cs="宋体"/>
                <w:kern w:val="0"/>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1.35</w:t>
            </w:r>
          </w:p>
        </w:tc>
        <w:tc>
          <w:tcPr>
            <w:tcW w:w="2268" w:type="dxa"/>
            <w:vAlign w:val="center"/>
          </w:tcPr>
          <w:p>
            <w:pPr>
              <w:widowControl/>
              <w:jc w:val="center"/>
              <w:rPr>
                <w:rFonts w:ascii="宋体" w:hAnsi="宋体" w:cs="宋体"/>
                <w:sz w:val="24"/>
              </w:rPr>
            </w:pPr>
            <w:r>
              <w:rPr>
                <w:rFonts w:hint="eastAsia" w:ascii="宋体" w:hAnsi="宋体" w:cs="宋体"/>
                <w:sz w:val="24"/>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6.17</w:t>
            </w:r>
          </w:p>
        </w:tc>
        <w:tc>
          <w:tcPr>
            <w:tcW w:w="2268" w:type="dxa"/>
            <w:vAlign w:val="center"/>
          </w:tcPr>
          <w:p>
            <w:pPr>
              <w:widowControl/>
              <w:jc w:val="center"/>
              <w:rPr>
                <w:rFonts w:ascii="宋体" w:hAnsi="宋体" w:cs="宋体"/>
                <w:sz w:val="24"/>
              </w:rPr>
            </w:pPr>
            <w:r>
              <w:rPr>
                <w:rFonts w:hint="eastAsia" w:ascii="宋体" w:hAnsi="宋体" w:cs="宋体"/>
                <w:sz w:val="24"/>
              </w:rPr>
              <w:t>-6.17</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1.25</w:t>
            </w:r>
          </w:p>
        </w:tc>
        <w:tc>
          <w:tcPr>
            <w:tcW w:w="2268" w:type="dxa"/>
            <w:vAlign w:val="center"/>
          </w:tcPr>
          <w:p>
            <w:pPr>
              <w:widowControl/>
              <w:jc w:val="center"/>
              <w:rPr>
                <w:rFonts w:ascii="宋体" w:hAnsi="宋体" w:cs="宋体"/>
                <w:sz w:val="24"/>
              </w:rPr>
            </w:pPr>
            <w:r>
              <w:rPr>
                <w:rFonts w:hint="eastAsia" w:ascii="宋体" w:hAnsi="宋体" w:cs="宋体"/>
                <w:sz w:val="24"/>
              </w:rPr>
              <w:t>-1.25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18.8</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18.8</w:t>
            </w:r>
          </w:p>
        </w:tc>
        <w:tc>
          <w:tcPr>
            <w:tcW w:w="2268" w:type="dxa"/>
            <w:vAlign w:val="center"/>
          </w:tcPr>
          <w:p>
            <w:pPr>
              <w:widowControl/>
              <w:jc w:val="center"/>
              <w:rPr>
                <w:rFonts w:ascii="宋体" w:hAnsi="宋体" w:cs="宋体"/>
                <w:sz w:val="24"/>
              </w:rPr>
            </w:pPr>
            <w:r>
              <w:rPr>
                <w:rFonts w:hint="eastAsia" w:ascii="宋体" w:hAnsi="宋体" w:cs="宋体"/>
                <w:sz w:val="24"/>
              </w:rPr>
              <w:t>15.75</w:t>
            </w:r>
          </w:p>
        </w:tc>
        <w:tc>
          <w:tcPr>
            <w:tcW w:w="2268" w:type="dxa"/>
            <w:vAlign w:val="center"/>
          </w:tcPr>
          <w:p>
            <w:pPr>
              <w:widowControl/>
              <w:jc w:val="center"/>
              <w:rPr>
                <w:rFonts w:ascii="宋体" w:hAnsi="宋体" w:cs="宋体"/>
                <w:sz w:val="24"/>
              </w:rPr>
            </w:pPr>
            <w:r>
              <w:rPr>
                <w:rFonts w:hint="eastAsia" w:ascii="宋体" w:hAnsi="宋体" w:cs="宋体"/>
                <w:sz w:val="24"/>
              </w:rPr>
              <w:t>83.78%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专项宣传广告费</w:t>
            </w:r>
          </w:p>
        </w:tc>
        <w:tc>
          <w:tcPr>
            <w:tcW w:w="2268" w:type="dxa"/>
            <w:vAlign w:val="center"/>
          </w:tcPr>
          <w:p>
            <w:pPr>
              <w:widowControl/>
              <w:jc w:val="center"/>
              <w:rPr>
                <w:rFonts w:ascii="宋体" w:hAnsi="宋体" w:cs="宋体"/>
                <w:kern w:val="0"/>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18.76</w:t>
            </w:r>
          </w:p>
        </w:tc>
        <w:tc>
          <w:tcPr>
            <w:tcW w:w="2268" w:type="dxa"/>
            <w:vAlign w:val="center"/>
          </w:tcPr>
          <w:p>
            <w:pPr>
              <w:widowControl/>
              <w:jc w:val="center"/>
              <w:rPr>
                <w:rFonts w:ascii="宋体" w:hAnsi="宋体" w:cs="宋体"/>
                <w:sz w:val="24"/>
              </w:rPr>
            </w:pPr>
            <w:r>
              <w:rPr>
                <w:rFonts w:hint="eastAsia" w:ascii="宋体" w:hAnsi="宋体" w:cs="宋体"/>
                <w:sz w:val="24"/>
              </w:rPr>
              <w:t>93.80%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开展金融领域研究</w:t>
            </w:r>
          </w:p>
        </w:tc>
        <w:tc>
          <w:tcPr>
            <w:tcW w:w="3818" w:type="dxa"/>
            <w:vAlign w:val="center"/>
          </w:tcPr>
          <w:p>
            <w:pPr>
              <w:widowControl/>
              <w:jc w:val="center"/>
              <w:rPr>
                <w:rFonts w:ascii="宋体" w:hAnsi="宋体" w:cs="宋体"/>
                <w:sz w:val="24"/>
              </w:rPr>
            </w:pPr>
            <w:r>
              <w:rPr>
                <w:rFonts w:hint="eastAsia" w:ascii="宋体" w:hAnsi="宋体" w:cs="宋体"/>
                <w:sz w:val="24"/>
              </w:rPr>
              <w:t>开展金融理论研究，招引数字金融生态圈企业</w:t>
            </w:r>
          </w:p>
        </w:tc>
        <w:tc>
          <w:tcPr>
            <w:tcW w:w="6280" w:type="dxa"/>
            <w:vAlign w:val="center"/>
          </w:tcPr>
          <w:p>
            <w:pPr>
              <w:widowControl/>
              <w:jc w:val="center"/>
              <w:rPr>
                <w:rFonts w:ascii="宋体" w:hAnsi="宋体" w:cs="宋体"/>
                <w:sz w:val="24"/>
              </w:rPr>
            </w:pPr>
            <w:r>
              <w:rPr>
                <w:rFonts w:hint="eastAsia" w:ascii="宋体" w:hAnsi="宋体" w:cs="宋体"/>
                <w:sz w:val="24"/>
              </w:rPr>
              <w:t>在绿色金融发展方面，完善基础研究，编制《苏州市绿色金融发展白皮书》，梳理发展成效与未来路径。此外，组织市级部门开展全市数字人民币调研，累计开展多批专题调研，破解试点难点问题，形成相关调研研究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数字人民币试点全市范围的推广、政策指导</w:t>
            </w:r>
          </w:p>
        </w:tc>
        <w:tc>
          <w:tcPr>
            <w:tcW w:w="3818" w:type="dxa"/>
            <w:vAlign w:val="center"/>
          </w:tcPr>
          <w:p>
            <w:pPr>
              <w:widowControl/>
              <w:jc w:val="center"/>
              <w:rPr>
                <w:rFonts w:ascii="宋体" w:hAnsi="宋体" w:cs="宋体"/>
                <w:sz w:val="24"/>
              </w:rPr>
            </w:pPr>
            <w:r>
              <w:rPr>
                <w:rFonts w:hint="eastAsia" w:ascii="宋体" w:hAnsi="宋体" w:cs="宋体"/>
                <w:sz w:val="24"/>
              </w:rPr>
              <w:t>承担全市域数字人民币试点推广、政策指导工作</w:t>
            </w:r>
          </w:p>
        </w:tc>
        <w:tc>
          <w:tcPr>
            <w:tcW w:w="6280" w:type="dxa"/>
            <w:vAlign w:val="center"/>
          </w:tcPr>
          <w:p>
            <w:pPr>
              <w:widowControl/>
              <w:jc w:val="center"/>
              <w:rPr>
                <w:rFonts w:ascii="宋体" w:hAnsi="宋体" w:cs="宋体"/>
                <w:sz w:val="24"/>
              </w:rPr>
            </w:pPr>
            <w:r>
              <w:rPr>
                <w:rFonts w:hint="eastAsia" w:ascii="宋体" w:hAnsi="宋体" w:cs="宋体"/>
                <w:sz w:val="24"/>
              </w:rPr>
              <w:t>数字人民币试点居全国前列。推动数字人民币试点工作走深走实，各项指标继续保持全国前列。2025年全年，全市数字人民币累计交易量达6万亿元，发放数字人民币贷款5520亿元，消费交易金额31.5亿元。自开展数币试点以来，全市累计交易量12.9万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提供综合性金融服务</w:t>
            </w:r>
          </w:p>
        </w:tc>
        <w:tc>
          <w:tcPr>
            <w:tcW w:w="3818" w:type="dxa"/>
            <w:vAlign w:val="center"/>
          </w:tcPr>
          <w:p>
            <w:pPr>
              <w:widowControl/>
              <w:jc w:val="center"/>
              <w:rPr>
                <w:rFonts w:ascii="宋体" w:hAnsi="宋体" w:cs="宋体"/>
                <w:sz w:val="24"/>
              </w:rPr>
            </w:pPr>
            <w:r>
              <w:rPr>
                <w:rFonts w:hint="eastAsia" w:ascii="宋体" w:hAnsi="宋体" w:cs="宋体"/>
                <w:sz w:val="24"/>
              </w:rPr>
              <w:t>金融从业人员教育培训与金融人才发展，建立金融机构和企业的常态化对接机制</w:t>
            </w:r>
          </w:p>
        </w:tc>
        <w:tc>
          <w:tcPr>
            <w:tcW w:w="6280" w:type="dxa"/>
            <w:vAlign w:val="center"/>
          </w:tcPr>
          <w:p>
            <w:pPr>
              <w:widowControl/>
              <w:jc w:val="center"/>
              <w:rPr>
                <w:rFonts w:ascii="宋体" w:hAnsi="宋体" w:cs="宋体"/>
                <w:sz w:val="24"/>
              </w:rPr>
            </w:pPr>
            <w:r>
              <w:rPr>
                <w:rFonts w:hint="eastAsia" w:ascii="宋体" w:hAnsi="宋体" w:cs="宋体"/>
                <w:sz w:val="24"/>
              </w:rPr>
              <w:t>一是宣传培训覆盖面持续扩大。宣传方面，在“苏州金融”公众号推出“苏城‘数’递”数字人民币系列专项报道，累计发布19期。培训方面，开展数字金融理论知识培训，组织金融机构骨干赴高校参加数字金融专题培训，打造专业化人才队伍；开展数字人民币业务领域培训，参训总人数达6000人次。二是举办重大活动彰显品牌影响力。筹办数字金融高质量发展大会暨首届阳澄湖金融创新周、外资金融机构苏州行等金融领域重点活动，组织金融机构参加市级重点产业领域专题大会，展示苏州金融发展成果，促进产融对接。 三是金融服务提质增效。在小微金融服务创新方面，赴温州考察小微企业融资协调机制，深入学习当地服务中小微企业的实践经验，完善苏州综合金融服务体系建设</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工作计划等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中长期规划等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绩效目标表等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绩效目标表等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年度预算报告等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年度预算报告等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年度预算报告等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预决算公开平台按时公开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资金支付相关材料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收入管理制度等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绩效管理相关材料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86.06%</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年度资产管理报告等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-13.94%</w:t>
            </w:r>
          </w:p>
        </w:tc>
        <w:tc>
          <w:tcPr>
            <w:tcW w:w="1071" w:type="dxa"/>
          </w:tcPr>
          <w:p>
            <w:pPr>
              <w:spacing w:line="360" w:lineRule="auto"/>
              <w:rPr>
                <w:rFonts w:ascii="宋体" w:hAnsi="宋体" w:cs="宋体"/>
                <w:kern w:val="0"/>
                <w:sz w:val="22"/>
              </w:rPr>
            </w:pPr>
            <w:r>
              <w:rPr>
                <w:rFonts w:hint="eastAsia" w:ascii="宋体" w:hAnsi="宋体" w:cs="宋体"/>
                <w:sz w:val="24"/>
              </w:rPr>
              <w:t>因办公地点变化带来的空间限制，部分资产暂时闲置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年度资产管理报告等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项目管理制度及执行等材料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项目管理制度等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编制数20，在职人员16</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-20.00%</w:t>
            </w:r>
          </w:p>
        </w:tc>
        <w:tc>
          <w:tcPr>
            <w:tcW w:w="1071" w:type="dxa"/>
          </w:tcPr>
          <w:p>
            <w:pPr>
              <w:spacing w:line="360" w:lineRule="auto"/>
              <w:rPr>
                <w:rFonts w:ascii="宋体" w:hAnsi="宋体" w:cs="宋体"/>
                <w:kern w:val="0"/>
                <w:sz w:val="22"/>
              </w:rPr>
            </w:pPr>
            <w:r>
              <w:rPr>
                <w:rFonts w:hint="eastAsia" w:ascii="宋体" w:hAnsi="宋体" w:cs="宋体"/>
                <w:sz w:val="24"/>
              </w:rPr>
              <w:t>在职人员未满编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人员管理制度及执行等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人员管理制度等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机构建设优化材料等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业务培训材料等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组织建设报告等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无非税收入</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33.3%</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“三公”经费使用情况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因工作开展需要，本年度较上年增加因公出国（境）项目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29.06%</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采购指标执行情况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-70.94%</w:t>
            </w:r>
          </w:p>
        </w:tc>
        <w:tc>
          <w:tcPr>
            <w:tcW w:w="1071" w:type="dxa"/>
          </w:tcPr>
          <w:p>
            <w:pPr>
              <w:spacing w:line="360" w:lineRule="auto"/>
              <w:rPr>
                <w:rFonts w:ascii="宋体" w:hAnsi="宋体" w:cs="宋体"/>
                <w:kern w:val="0"/>
                <w:sz w:val="22"/>
              </w:rPr>
            </w:pPr>
            <w:r>
              <w:rPr>
                <w:rFonts w:hint="eastAsia" w:ascii="宋体" w:hAnsi="宋体" w:cs="宋体"/>
                <w:sz w:val="24"/>
              </w:rPr>
              <w:t>部分经费存在结余，结余部分财政全额收回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25.29%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因新招聘4人，追加人员经费及公用经费，与年初预算有偏差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92.65%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预算指标执行情况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-7.35%</w:t>
            </w:r>
          </w:p>
        </w:tc>
        <w:tc>
          <w:tcPr>
            <w:tcW w:w="1071" w:type="dxa"/>
          </w:tcPr>
          <w:p>
            <w:pPr>
              <w:spacing w:line="360" w:lineRule="auto"/>
              <w:rPr>
                <w:rFonts w:ascii="宋体" w:hAnsi="宋体" w:cs="宋体"/>
                <w:kern w:val="0"/>
                <w:sz w:val="22"/>
              </w:rPr>
            </w:pPr>
            <w:r>
              <w:rPr>
                <w:rFonts w:hint="eastAsia" w:ascii="宋体" w:hAnsi="宋体" w:cs="宋体"/>
                <w:sz w:val="24"/>
              </w:rPr>
              <w:t>厉行节约，减少开支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82.49%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指标执行情况等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-17.51%</w:t>
            </w:r>
          </w:p>
        </w:tc>
        <w:tc>
          <w:tcPr>
            <w:tcW w:w="1071" w:type="dxa"/>
          </w:tcPr>
          <w:p>
            <w:pPr>
              <w:spacing w:line="360" w:lineRule="auto"/>
              <w:rPr>
                <w:rFonts w:ascii="宋体" w:hAnsi="宋体" w:cs="宋体"/>
                <w:kern w:val="0"/>
                <w:sz w:val="22"/>
              </w:rPr>
            </w:pPr>
            <w:r>
              <w:rPr>
                <w:rFonts w:hint="eastAsia" w:ascii="宋体" w:hAnsi="宋体" w:cs="宋体"/>
                <w:sz w:val="24"/>
              </w:rPr>
              <w:t>厉行节约，减少公用经费支出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16.08%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60.80%</w:t>
            </w:r>
          </w:p>
        </w:tc>
        <w:tc>
          <w:tcPr>
            <w:tcW w:w="1071" w:type="dxa"/>
          </w:tcPr>
          <w:p>
            <w:pPr>
              <w:spacing w:line="360" w:lineRule="auto"/>
              <w:rPr>
                <w:rFonts w:ascii="宋体" w:hAnsi="宋体" w:cs="宋体"/>
                <w:kern w:val="0"/>
                <w:sz w:val="22"/>
              </w:rPr>
            </w:pPr>
            <w:r>
              <w:rPr>
                <w:rFonts w:hint="eastAsia" w:ascii="宋体" w:hAnsi="宋体" w:cs="宋体"/>
                <w:sz w:val="24"/>
              </w:rPr>
              <w:t>因新招聘4人，人员经费与公用经费增多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调研调查次数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调研情况材料等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计划布设展台数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布展统计情况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数字人民币交易量在全国排名</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全国前二</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全国第一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促进本市数字人民币交易量稳步提升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全国前列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全国前列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全市数字金融生态圈企业数量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&gt;=600家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800家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33.33%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承担数字人民币试点推广培训及金融从业人员培训</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开展金融领域相关课题研究，产出研究报告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相关研究报告成果</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