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6937D1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349024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8CCDC3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6D6B74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1ABCB8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7F0BB8E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0F264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A1581A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专项宣传广告费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FB95B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E5F96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55553E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B448B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B0768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苏州市长三角数字金融产业研究中心</w:t>
            </w:r>
          </w:p>
        </w:tc>
      </w:tr>
      <w:tr w14:paraId="6C7057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5DFB0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32156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4F7842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49D0B53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25DB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0F4AB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70251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279A05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872543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D85CC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20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50C32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8234F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20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3319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230021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</w:tr>
      <w:tr w14:paraId="25C5D5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D1DC6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8541A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B983D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3FC2B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3523A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361A85E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B785D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AADC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4CB8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4808A1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6D94D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67AAA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281D83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505DC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EBDD8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C142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18.7552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4D89C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1.2448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1F69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A76D7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1.2448</w:t>
            </w:r>
          </w:p>
        </w:tc>
      </w:tr>
      <w:tr w14:paraId="6B695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E10651B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26895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2A3AFD9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FFB8EC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D983F8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1F949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EE065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027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AE9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18.7552</w:t>
            </w:r>
          </w:p>
        </w:tc>
      </w:tr>
      <w:tr w14:paraId="34702D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2B4C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布设展厅、氛围营造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EA8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DDE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417CC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DCB7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媒体宣传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B1DB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D156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14.8</w:t>
            </w:r>
          </w:p>
        </w:tc>
      </w:tr>
      <w:tr w14:paraId="1C56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E58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制作宣传物料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AF25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7F62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3.9552</w:t>
            </w:r>
          </w:p>
        </w:tc>
      </w:tr>
      <w:tr w14:paraId="4E894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696F63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1F4F65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A7F7B10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343FB3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635B745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EEE8964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5F1ED9F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4462F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6AD8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C56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A25A4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143C3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70FB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A45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69FF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086C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C8C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89A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7AD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F2E10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1FF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E82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0D08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AB54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80EF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195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35CF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0B2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4116D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29CD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40A1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73B8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B556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C6CC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AF9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0E4E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A198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20F8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99F7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64768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5CE35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EB4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995F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5CD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B496D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4EC9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F15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3581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A29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0FBE7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99C8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276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9BDFA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BC11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B2F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AE210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20CE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F129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B8C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C4D3A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9A00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F320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11C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39E7C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1573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E03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71E7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B2FAF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AC6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7388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93.78%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F6E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5.51</w:t>
            </w:r>
          </w:p>
        </w:tc>
      </w:tr>
      <w:tr w14:paraId="679CFB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6475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255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08D2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A9D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D29D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9F94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0A64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4FC58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F1BE0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E6EE6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ACD4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62DD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D75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03E4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F8C6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56AB9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E69B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6E3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F54E0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6FB0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099B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39DD1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59EA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5628E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0A4B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B8F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63AB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计划布设展台数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C629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=1个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B6F54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CD8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1个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9D39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79C59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E6D2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F82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A0CA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布设展台质量达标率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813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正常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4A95A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50B2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2DEB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2CB69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305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B20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D98D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8260A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508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B17E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B71A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7AEFC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DE86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28E7B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E19C1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9431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77558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4A06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09B6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16922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A9DB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BE0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69.51</w:t>
            </w:r>
          </w:p>
        </w:tc>
      </w:tr>
    </w:tbl>
    <w:p w14:paraId="12FB08E7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6959"/>
      </w:tblGrid>
      <w:tr w14:paraId="6C1985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109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auto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none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7438D7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7F6D24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676374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1127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2D927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此项目用于物料制作、媒体宣传等金融宣传相关支出。</w:t>
            </w:r>
          </w:p>
        </w:tc>
      </w:tr>
      <w:tr w14:paraId="1DBE62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3234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E5421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更好推进全市数字人民币试点和金融服务工作。</w:t>
            </w:r>
          </w:p>
        </w:tc>
      </w:tr>
      <w:tr w14:paraId="26F09EE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7BF1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5ED91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更好推进全市数字人民币试点和金融服务工作。</w:t>
            </w:r>
          </w:p>
        </w:tc>
      </w:tr>
      <w:tr w14:paraId="332EAE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8877E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7203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推出苏州金融业网点和顾问通讯录、金融领域活动手册等，以及数字人民币跨境支付宣传视频。</w:t>
            </w:r>
          </w:p>
        </w:tc>
      </w:tr>
      <w:tr w14:paraId="4544D1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33A81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3D7C1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通过系列宣传，有效促进了数字人民币的推广，提升了公众认知度。</w:t>
            </w:r>
          </w:p>
        </w:tc>
      </w:tr>
      <w:tr w14:paraId="11B9EDB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38E9F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FE1332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 w14:paraId="66889C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FDCD4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5CA05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</w:tbl>
    <w:p w14:paraId="24C8215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61281558"/>
    <w:rsid w:val="70126D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1257</Words>
  <Characters>1441</Characters>
  <Lines>10</Lines>
  <Paragraphs>3</Paragraphs>
  <TotalTime>2</TotalTime>
  <ScaleCrop>false</ScaleCrop>
  <LinksUpToDate>false</LinksUpToDate>
  <CharactersWithSpaces>1441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super.</cp:lastModifiedBy>
  <dcterms:modified xsi:type="dcterms:W3CDTF">2026-04-02T05:07:02Z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eyJoZGlkIjoiNDgxNzIyNzNkMDU4ZTIzMWI3YjU0ZDA5YjQzOTk3YWYiLCJ1c2VySWQiOiIxMjU2NzQ2NDgwIn0=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