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B3704B"/>
    <w:tbl>
      <w:tblPr>
        <w:tblStyle w:val="5"/>
        <w:tblW w:w="8501" w:type="dxa"/>
        <w:tblInd w:w="-142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14:paraId="4E0286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01" w:type="dxa"/>
            <w:gridSpan w:val="15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7A6503B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hint="eastAsia" w:cs="Arial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14:paraId="2FB519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72" w:hRule="atLeast"/>
        </w:trPr>
        <w:tc>
          <w:tcPr>
            <w:tcW w:w="8501" w:type="dxa"/>
            <w:gridSpan w:val="1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C07E10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14:paraId="236FEBC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4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F258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9415FD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会议费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06F223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C7F65B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hint="eastAsia" w:ascii="宋体" w:hAnsi="宋体"/>
                <w:sz w:val="22"/>
              </w:rPr>
              <w:t>5</w:t>
            </w:r>
          </w:p>
        </w:tc>
      </w:tr>
      <w:tr w14:paraId="1817A94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5" w:hRule="atLeast"/>
        </w:trPr>
        <w:tc>
          <w:tcPr>
            <w:tcW w:w="182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7E124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项目主管部门(单位)</w:t>
            </w:r>
          </w:p>
        </w:tc>
        <w:tc>
          <w:tcPr>
            <w:tcW w:w="6679" w:type="dxa"/>
            <w:gridSpan w:val="1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D9FC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苏州市长三角数字金融产业研究中心</w:t>
            </w:r>
          </w:p>
        </w:tc>
      </w:tr>
      <w:tr w14:paraId="26C355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5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6841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AB7BD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5F15F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14:paraId="20597E4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结转及当年预算追加追减数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43B4D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9C79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7D88A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指标结余收回数</w:t>
            </w:r>
          </w:p>
        </w:tc>
      </w:tr>
      <w:tr w14:paraId="01BFC21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1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685BB9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1197D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5</w:t>
            </w:r>
          </w:p>
        </w:tc>
        <w:tc>
          <w:tcPr>
            <w:tcW w:w="2300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04012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484A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337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FD40E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DBC6E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2</w:t>
            </w:r>
          </w:p>
        </w:tc>
      </w:tr>
      <w:tr w14:paraId="1FCD5A2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6" w:hRule="atLeast"/>
        </w:trPr>
        <w:tc>
          <w:tcPr>
            <w:tcW w:w="852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B14D4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1E45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36EC7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8195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2FC82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其中：</w:t>
            </w:r>
          </w:p>
        </w:tc>
      </w:tr>
      <w:tr w14:paraId="7A74654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78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6645A6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42556A7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A3FB7A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8FA6250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E1869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1C55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财政收回数</w:t>
            </w:r>
          </w:p>
        </w:tc>
      </w:tr>
      <w:tr w14:paraId="55C4C47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852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A14022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1C09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3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1598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1.35</w:t>
            </w:r>
          </w:p>
        </w:tc>
        <w:tc>
          <w:tcPr>
            <w:tcW w:w="1940" w:type="dxa"/>
            <w:gridSpan w:val="4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1284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1.65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0E2E2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E9509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ascii="宋体" w:hAnsi="宋体"/>
                <w:sz w:val="22"/>
              </w:rPr>
              <w:t>1.65</w:t>
            </w:r>
          </w:p>
        </w:tc>
      </w:tr>
      <w:tr w14:paraId="787C19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8501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18FB6622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14:paraId="4A02C12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251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3081B2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3BDA6A6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调整预算数（万元）</w:t>
            </w:r>
          </w:p>
        </w:tc>
        <w:tc>
          <w:tcPr>
            <w:tcW w:w="321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524A317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实际支出数（万元）</w:t>
            </w:r>
          </w:p>
        </w:tc>
      </w:tr>
      <w:tr w14:paraId="7573F4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</w:trPr>
        <w:tc>
          <w:tcPr>
            <w:tcW w:w="121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9B7250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5C9F185D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00826DBA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CF536FC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4BC8A33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62E8BB5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BFBFBF"/>
            <w:vAlign w:val="center"/>
          </w:tcPr>
          <w:p w14:paraId="79D6DA21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 w14:paraId="62FF0A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4EB48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E931D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EB18A0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3DC3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F445F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593F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B8AD3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C4C6D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8F6E6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FCC8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2B96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FEDDC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4369D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D10A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C5971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5D8341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32EB4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6F5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62A20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6FF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96CE6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6F22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DCBB9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3EEF5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4C238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E992C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53AF9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CDAF4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40042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8BE15F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8A559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778B70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9332D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0F89D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21119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8472B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71D98F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30C15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E4DF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02A00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8786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ABFC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D5910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6EC74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B316E6B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E8371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F0C2B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02A248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0E9EF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541C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62757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BA4B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2387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4E730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3EFBC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 w14:paraId="2D7BED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C3B5DE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0F9463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41DE5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BA512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C872E2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CC9E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2065E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08946A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AF36A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6042D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D822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4F51B8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10AAB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457A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27%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D861D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0</w:t>
            </w:r>
          </w:p>
        </w:tc>
      </w:tr>
      <w:tr w14:paraId="4E245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FD73E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A508EF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36E9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87003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EC8B1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2AED5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7528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 w14:paraId="676966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BE14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77C4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A7189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3C8B3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07334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16E99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6CA8C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 w14:paraId="40157E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28DF77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5DBF3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525A2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参会人数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DA2D2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&gt;=150人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A0DAC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0DAE92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154人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39275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8.34</w:t>
            </w:r>
          </w:p>
        </w:tc>
      </w:tr>
      <w:tr w14:paraId="72E355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0638A6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ADBA61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E9BF6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经费支出合规性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2F9BC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92569C5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07530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2A598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51430E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06FDB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EF9410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E7124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项目计划完成及时性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580D9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及时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9D1FD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61C3AF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3005A8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8.33</w:t>
            </w:r>
          </w:p>
        </w:tc>
      </w:tr>
      <w:tr w14:paraId="1FA76D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121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15E8F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121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8F407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19662B9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对单位履职、促进事业发展的影响或提升程度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16463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较高</w:t>
            </w:r>
          </w:p>
        </w:tc>
        <w:tc>
          <w:tcPr>
            <w:tcW w:w="1213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E0BBA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DE44A4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01B31C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14:paraId="5CCEC6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15" w:hRule="atLeast"/>
        </w:trPr>
        <w:tc>
          <w:tcPr>
            <w:tcW w:w="7286" w:type="dxa"/>
            <w:gridSpan w:val="1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FE99FE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Arial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F1EE67E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hint="eastAsia" w:ascii="宋体" w:hAnsi="宋体"/>
                <w:sz w:val="22"/>
              </w:rPr>
              <w:t>64</w:t>
            </w:r>
          </w:p>
        </w:tc>
      </w:tr>
    </w:tbl>
    <w:p w14:paraId="1B5FD260"/>
    <w:tbl>
      <w:tblPr>
        <w:tblStyle w:val="5"/>
        <w:tblW w:w="8506" w:type="dxa"/>
        <w:tblInd w:w="-147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547"/>
        <w:gridCol w:w="6959"/>
      </w:tblGrid>
      <w:tr w14:paraId="11F620F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9DDEE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eastAsia="黑体"/>
                <w:color w:val="000000"/>
                <w:kern w:val="0"/>
                <w:szCs w:val="21"/>
                <w:highlight w:val="none"/>
              </w:rPr>
              <w:t>填表说明：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1．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年初预算数”填预算批复数；“当年使用上年结余、结转及当年预算追加追减数”填当年使用上年结余、结转数以及追加或追减预算数；“财政拨款数”填财政部门实际拨付的款项数；“实际支付数”填资金实际支付到最终使用者的数额；“结转数”填结转以后年度使用的资金数；“财政收回数”填财政部门收回的资金数。指标结余数=年初预算数+当年使用上年结余、结转及当年预算追加追减数-财政拨款数；计划结余数=财政拨款数-实际支付数=计划结转数+财政收回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2．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“决策”、“过程”类指标每个指标的权重值固定，“产出”、“效益”、“满意度”指标权重值是根据指标数量将每类指标总分值分摊到各项指标，即各项指标分值=每类指标总分值/该类指标个数。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3．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各项数据采集的时间节点均为2025年12月31日。</w:t>
            </w:r>
            <w:r>
              <w:rPr>
                <w:rFonts w:hint="eastAsia" w:eastAsia="楷体_GB2312"/>
                <w:b/>
                <w:color w:val="000000"/>
                <w:kern w:val="0"/>
                <w:szCs w:val="21"/>
                <w:highlight w:val="none"/>
              </w:rPr>
              <w:t>4．</w:t>
            </w:r>
            <w:r>
              <w:rPr>
                <w:rFonts w:hint="eastAsia" w:eastAsia="楷体_GB2312"/>
                <w:color w:val="000000"/>
                <w:kern w:val="0"/>
                <w:szCs w:val="21"/>
                <w:highlight w:val="none"/>
              </w:rPr>
              <w:t>定性指标根据实际完成情况按照100%、80%、60%、40%、20%、0六级权重予以评分。定量指标评分规则：“产出”类每项指标的实际完成值对应预期设定的目标值，完成100%～130%得权重值满分，超过130%的每超过1%扣权重值1%；“决策”、“过程”、“满意度”类指标以100%为满分；“效益”类每项指标的实际完成值对应预期设定的目标值，完成100%～200%得权重值满分，超过200%的每超过1%扣权重值1%；五类指标的所有指标实际完成值每低于目标值1个百分点相应扣减权重值的5%；某项指标无法提供具体数值，且无说明，得0分。</w:t>
            </w:r>
          </w:p>
        </w:tc>
      </w:tr>
      <w:tr w14:paraId="45791B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0" w:hRule="atLeast"/>
        </w:trPr>
        <w:tc>
          <w:tcPr>
            <w:tcW w:w="85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09FE9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hint="eastAsia" w:cs="Arial"/>
                <w:b/>
                <w:bCs/>
                <w:color w:val="000000"/>
                <w:sz w:val="36"/>
                <w:szCs w:val="36"/>
              </w:rPr>
              <w:t>项目基本情况</w:t>
            </w:r>
          </w:p>
        </w:tc>
      </w:tr>
      <w:tr w14:paraId="3DE2004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73A77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1BBA7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本项目用于召开金融相关主题会议，助力金融行业创新发展。</w:t>
            </w:r>
          </w:p>
        </w:tc>
      </w:tr>
      <w:tr w14:paraId="78FECAC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0E9B05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5898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在全市域推广数字人民币试点工作，发展数字金融产业，赋能产业生态圈。</w:t>
            </w:r>
          </w:p>
        </w:tc>
      </w:tr>
      <w:tr w14:paraId="427CD7E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25EF3F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EE7C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在全市域推广数字人民币试点工作，发展数字金融产业，赋能产业生态圈。</w:t>
            </w:r>
          </w:p>
        </w:tc>
      </w:tr>
      <w:tr w14:paraId="02A9F72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677FC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BB5D4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召开全市金融系统工作会议暨数字人民币年度总结会，参会人数154人。</w:t>
            </w:r>
          </w:p>
        </w:tc>
      </w:tr>
      <w:tr w14:paraId="5AA9F0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2FCF18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996F61E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会议对本市金融工作起到了良好的总结与推动作用，并对数字人民币试点工作的有序开展起到了积极作用。</w:t>
            </w:r>
          </w:p>
        </w:tc>
      </w:tr>
      <w:tr w14:paraId="220A12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A6DF2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9E741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  <w:tr w14:paraId="5162898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547" w:type="dxa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CDF219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F34F70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 w:cs="Arial"/>
                <w:color w:val="000000"/>
                <w:sz w:val="22"/>
              </w:rPr>
              <w:t>无</w:t>
            </w:r>
          </w:p>
        </w:tc>
      </w:tr>
    </w:tbl>
    <w:p w14:paraId="3C035777">
      <w:pPr>
        <w:rPr>
          <w:rFonts w:hint="default"/>
          <w:lang w:val="en-US" w:eastAsia="zh-CN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  <w:rsid w:val="77EA2020"/>
    <w:rsid w:val="7ADD3C5B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1"/>
    <w:semiHidden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uiPriority w:val="99"/>
    <w:rPr>
      <w:sz w:val="18"/>
      <w:szCs w:val="18"/>
    </w:rPr>
  </w:style>
  <w:style w:type="character" w:customStyle="1" w:styleId="8">
    <w:name w:val="页脚 Char"/>
    <w:basedOn w:val="6"/>
    <w:link w:val="3"/>
    <w:uiPriority w:val="99"/>
    <w:rPr>
      <w:sz w:val="18"/>
      <w:szCs w:val="18"/>
    </w:rPr>
  </w:style>
  <w:style w:type="character" w:customStyle="1" w:styleId="9">
    <w:name w:val="闻政标题4 Char"/>
    <w:link w:val="10"/>
    <w:qFormat/>
    <w:locked/>
    <w:uiPriority w:val="0"/>
    <w:rPr>
      <w:rFonts w:ascii="仿宋_GB2312" w:eastAsia="仿宋_GB2312"/>
      <w:b/>
      <w:bCs/>
      <w:sz w:val="28"/>
      <w:szCs w:val="32"/>
    </w:rPr>
  </w:style>
  <w:style w:type="paragraph" w:customStyle="1" w:styleId="10">
    <w:name w:val="闻政标题4"/>
    <w:basedOn w:val="2"/>
    <w:link w:val="9"/>
    <w:qFormat/>
    <w:uiPriority w:val="0"/>
    <w:pPr>
      <w:spacing w:before="120" w:after="60" w:line="500" w:lineRule="exact"/>
      <w:ind w:firstLine="200" w:firstLineChars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11">
    <w:name w:val="标题 2 Char"/>
    <w:basedOn w:val="6"/>
    <w:link w:val="2"/>
    <w:semiHidden/>
    <w:uiPriority w:val="9"/>
    <w:rPr>
      <w:rFonts w:asciiTheme="majorHAnsi" w:hAnsiTheme="majorHAnsi" w:eastAsiaTheme="majorEastAsia" w:cstheme="majorBidi"/>
      <w:b/>
      <w:bCs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MS</Company>
  <Pages>2</Pages>
  <Words>1030</Words>
  <Characters>1185</Characters>
  <Lines>10</Lines>
  <Paragraphs>3</Paragraphs>
  <TotalTime>2</TotalTime>
  <ScaleCrop>false</ScaleCrop>
  <LinksUpToDate>false</LinksUpToDate>
  <CharactersWithSpaces>1185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2022-01-12T10:53:00Z</dcterms:created>
  <dc:creator>成 王</dc:creator>
  <cp:lastModifiedBy>super.</cp:lastModifiedBy>
  <dcterms:modified xsi:type="dcterms:W3CDTF">2026-04-02T03:17:52Z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eyJoZGlkIjoiNDgxNzIyNzNkMDU4ZTIzMWI3YjU0ZDA5YjQzOTk3YWYiLCJ1c2VySWQiOiIxMjU2NzQ2NDgwIn0=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