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797936">
      <w:pPr>
        <w:pStyle w:val="2"/>
        <w:ind w:left="0" w:leftChars="0" w:firstLine="0" w:firstLineChars="0"/>
        <w:rPr>
          <w:rFonts w:hint="eastAsia" w:ascii="黑体" w:hAnsi="黑体" w:eastAsia="黑体" w:cs="黑体"/>
          <w:sz w:val="32"/>
          <w:szCs w:val="32"/>
          <w:lang w:val="en-US" w:eastAsia="zh-CN"/>
        </w:rPr>
      </w:pPr>
      <w:bookmarkStart w:id="0" w:name="OLE_LINK4"/>
      <w:bookmarkStart w:id="1" w:name="_Hlk535949746"/>
      <w:r>
        <w:rPr>
          <w:rFonts w:hint="eastAsia" w:ascii="黑体" w:hAnsi="黑体" w:eastAsia="黑体" w:cs="黑体"/>
          <w:sz w:val="32"/>
          <w:szCs w:val="32"/>
          <w:lang w:val="en-US" w:eastAsia="zh-CN"/>
        </w:rPr>
        <w:t>附件</w:t>
      </w:r>
    </w:p>
    <w:p w14:paraId="0CD18758">
      <w:pPr>
        <w:rPr>
          <w:rFonts w:hint="default"/>
          <w:lang w:val="en-US" w:eastAsia="zh-CN"/>
        </w:rPr>
      </w:pPr>
    </w:p>
    <w:p w14:paraId="60D444E7">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right="0" w:rightChars="0"/>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关于优化金融生态环境促进金</w:t>
      </w:r>
      <w:bookmarkStart w:id="3" w:name="_GoBack"/>
      <w:bookmarkEnd w:id="3"/>
      <w:r>
        <w:rPr>
          <w:rFonts w:hint="eastAsia" w:ascii="方正小标宋简体" w:hAnsi="方正小标宋简体" w:eastAsia="方正小标宋简体" w:cs="方正小标宋简体"/>
          <w:color w:val="000000"/>
          <w:sz w:val="44"/>
          <w:szCs w:val="44"/>
          <w:lang w:val="en-US" w:eastAsia="zh-CN"/>
        </w:rPr>
        <w:t>融业高质量</w:t>
      </w:r>
      <w:r>
        <w:rPr>
          <w:rFonts w:hint="eastAsia" w:ascii="方正小标宋简体" w:hAnsi="方正小标宋简体" w:eastAsia="方正小标宋简体" w:cs="方正小标宋简体"/>
          <w:color w:val="auto"/>
          <w:sz w:val="44"/>
          <w:szCs w:val="44"/>
          <w:lang w:val="en-US" w:eastAsia="zh-CN"/>
        </w:rPr>
        <w:t>发展的行</w:t>
      </w:r>
      <w:r>
        <w:rPr>
          <w:rFonts w:hint="eastAsia" w:ascii="方正小标宋简体" w:hAnsi="方正小标宋简体" w:eastAsia="方正小标宋简体" w:cs="方正小标宋简体"/>
          <w:color w:val="000000"/>
          <w:sz w:val="44"/>
          <w:szCs w:val="44"/>
          <w:lang w:val="en-US" w:eastAsia="zh-CN"/>
        </w:rPr>
        <w:t>动方案（2026-2028年）</w:t>
      </w:r>
    </w:p>
    <w:p w14:paraId="1FC02D79">
      <w:pPr>
        <w:pStyle w:val="2"/>
        <w:keepNext w:val="0"/>
        <w:keepLines w:val="0"/>
        <w:pageBreakBefore w:val="0"/>
        <w:widowControl w:val="0"/>
        <w:numPr>
          <w:ilvl w:val="0"/>
          <w:numId w:val="0"/>
        </w:numPr>
        <w:kinsoku/>
        <w:wordWrap/>
        <w:overflowPunct/>
        <w:topLinePunct w:val="0"/>
        <w:autoSpaceDE/>
        <w:autoSpaceDN/>
        <w:bidi w:val="0"/>
        <w:adjustRightInd/>
        <w:snapToGrid/>
        <w:spacing w:after="0" w:line="576" w:lineRule="exact"/>
        <w:ind w:right="0" w:rightChars="0"/>
        <w:jc w:val="center"/>
        <w:textAlignment w:val="auto"/>
        <w:rPr>
          <w:rFonts w:hint="default" w:ascii="华文楷体" w:hAnsi="方正小标宋简体" w:eastAsia="华文楷体" w:cs="方正小标宋简体"/>
          <w:color w:val="auto"/>
          <w:sz w:val="32"/>
          <w:szCs w:val="32"/>
          <w:lang w:val="en-US" w:eastAsia="zh-CN"/>
        </w:rPr>
      </w:pPr>
      <w:r>
        <w:rPr>
          <w:rFonts w:hint="eastAsia" w:ascii="仿宋_GB2312" w:hAnsi="仿宋_GB2312" w:eastAsia="仿宋_GB2312" w:cs="仿宋_GB2312"/>
          <w:color w:val="auto"/>
          <w:sz w:val="32"/>
          <w:szCs w:val="32"/>
          <w:lang w:val="en-US" w:eastAsia="zh-CN"/>
        </w:rPr>
        <w:t>（征求意见稿）</w:t>
      </w:r>
    </w:p>
    <w:p w14:paraId="4E5CE79B">
      <w:pPr>
        <w:keepNext w:val="0"/>
        <w:keepLines w:val="0"/>
        <w:pageBreakBefore w:val="0"/>
        <w:widowControl w:val="0"/>
        <w:numPr>
          <w:ilvl w:val="0"/>
          <w:numId w:val="0"/>
        </w:numPr>
        <w:kinsoku/>
        <w:wordWrap/>
        <w:overflowPunct/>
        <w:topLinePunct w:val="0"/>
        <w:autoSpaceDE/>
        <w:autoSpaceDN/>
        <w:bidi w:val="0"/>
        <w:adjustRightInd/>
        <w:snapToGrid/>
        <w:spacing w:after="0" w:line="576" w:lineRule="exact"/>
        <w:ind w:right="0" w:rightChars="0" w:firstLine="640" w:firstLineChars="200"/>
        <w:jc w:val="both"/>
        <w:textAlignment w:val="auto"/>
        <w:rPr>
          <w:rFonts w:hint="eastAsia" w:ascii="仿宋_GB2312" w:hAnsi="仿宋_GB2312" w:eastAsia="仿宋_GB2312" w:cs="仿宋_GB2312"/>
          <w:color w:val="auto"/>
          <w:sz w:val="32"/>
          <w:szCs w:val="32"/>
          <w:lang w:val="en-US" w:eastAsia="zh-CN"/>
        </w:rPr>
      </w:pPr>
    </w:p>
    <w:p w14:paraId="7E7C4CAE">
      <w:pPr>
        <w:keepNext w:val="0"/>
        <w:keepLines w:val="0"/>
        <w:pageBreakBefore w:val="0"/>
        <w:widowControl w:val="0"/>
        <w:numPr>
          <w:ilvl w:val="0"/>
          <w:numId w:val="0"/>
        </w:numPr>
        <w:kinsoku/>
        <w:wordWrap/>
        <w:overflowPunct/>
        <w:topLinePunct w:val="0"/>
        <w:autoSpaceDE/>
        <w:autoSpaceDN/>
        <w:bidi w:val="0"/>
        <w:adjustRightInd/>
        <w:snapToGrid/>
        <w:spacing w:after="0" w:line="576" w:lineRule="exact"/>
        <w:ind w:right="0" w:rightChars="0"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为深入贯彻党的二十大和二十届历次全会精神，落实省政府办公厅《关于优化金融生态环境促进金融业高质量发展的若干措施》（苏政办发〔2026〕2号），积极优化</w:t>
      </w:r>
      <w:r>
        <w:rPr>
          <w:rFonts w:hint="default" w:ascii="仿宋_GB2312" w:hAnsi="仿宋_GB2312" w:eastAsia="仿宋_GB2312" w:cs="仿宋_GB2312"/>
          <w:color w:val="auto"/>
          <w:sz w:val="32"/>
          <w:szCs w:val="32"/>
          <w:u w:val="none"/>
          <w:lang w:val="en-US" w:eastAsia="zh-CN"/>
        </w:rPr>
        <w:t>苏州</w:t>
      </w:r>
      <w:r>
        <w:rPr>
          <w:rFonts w:hint="eastAsia" w:ascii="仿宋_GB2312" w:hAnsi="仿宋_GB2312" w:eastAsia="仿宋_GB2312" w:cs="仿宋_GB2312"/>
          <w:color w:val="auto"/>
          <w:sz w:val="32"/>
          <w:szCs w:val="32"/>
          <w:u w:val="none"/>
          <w:lang w:val="en-US" w:eastAsia="zh-CN"/>
        </w:rPr>
        <w:t>金融生态环境，更好服务经济金融高质量发展，特制定以下行动方案。</w:t>
      </w:r>
    </w:p>
    <w:p w14:paraId="62C44FF1">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b w:val="0"/>
          <w:bCs w:val="0"/>
          <w:color w:val="auto"/>
          <w:sz w:val="32"/>
          <w:szCs w:val="32"/>
          <w:highlight w:val="none"/>
          <w:u w:val="none"/>
          <w:lang w:val="en-US" w:eastAsia="zh-CN"/>
        </w:rPr>
      </w:pPr>
      <w:r>
        <w:rPr>
          <w:rFonts w:hint="eastAsia" w:ascii="黑体" w:hAnsi="黑体" w:eastAsia="黑体" w:cs="黑体"/>
          <w:b w:val="0"/>
          <w:bCs w:val="0"/>
          <w:color w:val="auto"/>
          <w:sz w:val="32"/>
          <w:szCs w:val="32"/>
          <w:highlight w:val="none"/>
          <w:u w:val="none"/>
          <w:lang w:val="en-US" w:eastAsia="zh-CN"/>
        </w:rPr>
        <w:t>一、完善金融基础设施建设，持续优化信用环境</w:t>
      </w:r>
    </w:p>
    <w:p w14:paraId="5CBEA9C2">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u w:val="none"/>
          <w:lang w:val="en-US" w:eastAsia="zh-CN"/>
        </w:rPr>
      </w:pPr>
      <w:r>
        <w:rPr>
          <w:rFonts w:hint="eastAsia" w:ascii="楷体_GB2312" w:hAnsi="楷体_GB2312" w:eastAsia="楷体_GB2312" w:cs="楷体_GB2312"/>
          <w:b w:val="0"/>
          <w:bCs w:val="0"/>
          <w:color w:val="auto"/>
          <w:sz w:val="32"/>
          <w:szCs w:val="32"/>
          <w:u w:val="none"/>
          <w:lang w:val="en-US" w:eastAsia="zh-CN"/>
        </w:rPr>
        <w:t>（一）深化公共数据授权应用。</w:t>
      </w:r>
      <w:r>
        <w:rPr>
          <w:rFonts w:hint="eastAsia" w:ascii="仿宋_GB2312" w:hAnsi="仿宋_GB2312" w:eastAsia="仿宋_GB2312" w:cs="仿宋_GB2312"/>
          <w:color w:val="auto"/>
          <w:sz w:val="32"/>
          <w:szCs w:val="32"/>
          <w:u w:val="none"/>
          <w:lang w:val="en-US" w:eastAsia="zh-CN"/>
        </w:rPr>
        <w:t>全面推进公共数据攻坚行动，制定完善公共数据授权运营制度体系，加快推进公共数据运营开发，推动应用场景落地。指导银行机构跟踪省公共数据平台、创新积分数据库建设进度，为企业数据画像、对公业务流程优化、信贷数据分析、精准营销支持等做好技术储备和架构设计。</w:t>
      </w:r>
      <w:r>
        <w:rPr>
          <w:rFonts w:hint="eastAsia" w:ascii="楷体_GB2312" w:hAnsi="楷体_GB2312" w:eastAsia="楷体_GB2312" w:cs="楷体_GB2312"/>
          <w:color w:val="auto"/>
          <w:sz w:val="32"/>
          <w:szCs w:val="32"/>
          <w:u w:val="none"/>
          <w:lang w:val="en-US" w:eastAsia="zh-CN"/>
        </w:rPr>
        <w:t>〔市发改委、市科技局、市数据局、人民银行苏州市分行、苏州金融监管分局、各县级市（区）人民政府按职责分工负责。以下均需各县级市（区）人民政府落实，不再列出〕</w:t>
      </w:r>
    </w:p>
    <w:p w14:paraId="3AF3AF10">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bCs/>
          <w:color w:val="auto"/>
          <w:sz w:val="32"/>
          <w:szCs w:val="32"/>
          <w:highlight w:val="none"/>
          <w:u w:val="none"/>
          <w:lang w:val="en-US" w:eastAsia="zh-CN"/>
        </w:rPr>
      </w:pPr>
      <w:r>
        <w:rPr>
          <w:rFonts w:hint="eastAsia" w:ascii="楷体_GB2312" w:hAnsi="楷体_GB2312" w:eastAsia="楷体_GB2312" w:cs="楷体_GB2312"/>
          <w:b w:val="0"/>
          <w:bCs w:val="0"/>
          <w:color w:val="auto"/>
          <w:sz w:val="32"/>
          <w:szCs w:val="32"/>
          <w:u w:val="none"/>
          <w:lang w:val="en-US" w:eastAsia="zh-CN"/>
        </w:rPr>
        <w:t>（二）推进信用信息归集运用。</w:t>
      </w:r>
      <w:r>
        <w:rPr>
          <w:rFonts w:hint="eastAsia" w:ascii="仿宋_GB2312" w:hAnsi="仿宋_GB2312" w:eastAsia="仿宋_GB2312" w:cs="仿宋_GB2312"/>
          <w:color w:val="auto"/>
          <w:sz w:val="32"/>
          <w:szCs w:val="32"/>
          <w:u w:val="none"/>
          <w:lang w:val="en-US" w:eastAsia="zh-CN"/>
        </w:rPr>
        <w:t>推进全国一体化融资信用服务平台（苏州站）建设，完善全国融资信用服务苏州站规范。落实《信用修复管理办法》，依法依规开展信用修复工作。</w:t>
      </w:r>
      <w:r>
        <w:rPr>
          <w:rFonts w:hint="eastAsia" w:ascii="仿宋_GB2312" w:hAnsi="仿宋_GB2312" w:eastAsia="仿宋_GB2312" w:cs="仿宋_GB2312"/>
          <w:color w:val="auto"/>
          <w:sz w:val="32"/>
          <w:szCs w:val="32"/>
          <w:highlight w:val="none"/>
          <w:u w:val="none"/>
          <w:lang w:val="en-US" w:eastAsia="zh-CN"/>
        </w:rPr>
        <w:t>支持征信机构完善信用服务产品，拓展信用服务对接金融服务应用范围，推动各类企业信用信息向金融机构共享。按规定公示报送相关行政信用信息。加强地方金融组织监管评级（年审）结果运用，实施分级分类监管，支持符合条件的地方金融组织接入</w:t>
      </w:r>
      <w:r>
        <w:rPr>
          <w:rFonts w:hint="default" w:ascii="仿宋_GB2312" w:hAnsi="仿宋_GB2312" w:eastAsia="仿宋_GB2312" w:cs="仿宋_GB2312"/>
          <w:color w:val="auto"/>
          <w:sz w:val="32"/>
          <w:szCs w:val="32"/>
          <w:highlight w:val="none"/>
          <w:u w:val="none"/>
          <w:lang w:val="en-US" w:eastAsia="zh-CN"/>
        </w:rPr>
        <w:t>人民银行征信系统</w:t>
      </w:r>
      <w:r>
        <w:rPr>
          <w:rFonts w:hint="eastAsia" w:ascii="仿宋_GB2312" w:hAnsi="仿宋_GB2312" w:eastAsia="仿宋_GB2312" w:cs="仿宋_GB2312"/>
          <w:color w:val="auto"/>
          <w:sz w:val="32"/>
          <w:szCs w:val="32"/>
          <w:highlight w:val="none"/>
          <w:u w:val="none"/>
          <w:lang w:val="en-US" w:eastAsia="zh-CN"/>
        </w:rPr>
        <w:t>，督促地方金融组织行业协会发挥行业自律作用，规范行业竞争秩序和经营行为。</w:t>
      </w:r>
      <w:r>
        <w:rPr>
          <w:rFonts w:hint="eastAsia" w:ascii="楷体_GB2312" w:hAnsi="楷体_GB2312" w:eastAsia="楷体_GB2312" w:cs="楷体_GB2312"/>
          <w:color w:val="auto"/>
          <w:spacing w:val="4"/>
          <w:sz w:val="32"/>
          <w:szCs w:val="32"/>
          <w:highlight w:val="none"/>
          <w:u w:val="none"/>
          <w:lang w:eastAsia="zh-CN"/>
        </w:rPr>
        <w:t>（市委金融办、市发改委、</w:t>
      </w:r>
      <w:r>
        <w:rPr>
          <w:rFonts w:hint="eastAsia" w:ascii="楷体_GB2312" w:hAnsi="楷体_GB2312" w:eastAsia="楷体_GB2312" w:cs="楷体_GB2312"/>
          <w:color w:val="auto"/>
          <w:spacing w:val="4"/>
          <w:sz w:val="32"/>
          <w:szCs w:val="32"/>
          <w:highlight w:val="none"/>
          <w:u w:val="none"/>
          <w:lang w:val="en-US" w:eastAsia="zh-CN"/>
        </w:rPr>
        <w:t>市数据局、</w:t>
      </w:r>
      <w:r>
        <w:rPr>
          <w:rFonts w:hint="eastAsia" w:ascii="楷体_GB2312" w:hAnsi="楷体_GB2312" w:eastAsia="楷体_GB2312" w:cs="楷体_GB2312"/>
          <w:color w:val="auto"/>
          <w:spacing w:val="4"/>
          <w:sz w:val="32"/>
          <w:szCs w:val="32"/>
          <w:highlight w:val="none"/>
          <w:u w:val="none"/>
          <w:lang w:eastAsia="zh-CN"/>
        </w:rPr>
        <w:t>人民银行苏州市分行、苏州金融监管分局</w:t>
      </w:r>
      <w:r>
        <w:rPr>
          <w:rFonts w:hint="eastAsia" w:ascii="楷体_GB2312" w:hAnsi="楷体_GB2312" w:eastAsia="楷体_GB2312" w:cs="楷体_GB2312"/>
          <w:b w:val="0"/>
          <w:bCs w:val="0"/>
          <w:color w:val="auto"/>
          <w:sz w:val="32"/>
          <w:szCs w:val="32"/>
          <w:highlight w:val="none"/>
          <w:u w:val="none"/>
          <w:lang w:val="en-US" w:eastAsia="zh-CN"/>
        </w:rPr>
        <w:t>按职责分工负责</w:t>
      </w:r>
      <w:r>
        <w:rPr>
          <w:rFonts w:hint="eastAsia" w:ascii="楷体_GB2312" w:hAnsi="楷体_GB2312" w:eastAsia="楷体_GB2312" w:cs="楷体_GB2312"/>
          <w:color w:val="auto"/>
          <w:spacing w:val="4"/>
          <w:sz w:val="32"/>
          <w:szCs w:val="32"/>
          <w:highlight w:val="none"/>
          <w:u w:val="none"/>
          <w:lang w:eastAsia="zh-CN"/>
        </w:rPr>
        <w:t>）</w:t>
      </w:r>
    </w:p>
    <w:p w14:paraId="3C545F6C">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楷体_GB2312" w:hAnsi="方正楷体_GB2312" w:eastAsia="方正楷体_GB2312" w:cs="方正楷体_GB2312"/>
          <w:b w:val="0"/>
          <w:bCs w:val="0"/>
          <w:color w:val="auto"/>
          <w:sz w:val="32"/>
          <w:szCs w:val="32"/>
          <w:highlight w:val="none"/>
          <w:u w:val="none"/>
          <w:lang w:val="en-US" w:eastAsia="zh-CN"/>
        </w:rPr>
      </w:pPr>
      <w:r>
        <w:rPr>
          <w:rFonts w:hint="eastAsia" w:ascii="楷体_GB2312" w:hAnsi="楷体_GB2312" w:eastAsia="楷体_GB2312" w:cs="楷体_GB2312"/>
          <w:b w:val="0"/>
          <w:bCs w:val="0"/>
          <w:color w:val="auto"/>
          <w:sz w:val="32"/>
          <w:szCs w:val="32"/>
          <w:highlight w:val="none"/>
          <w:u w:val="none"/>
          <w:lang w:val="en-US" w:eastAsia="zh-CN"/>
        </w:rPr>
        <w:t>（三）加快区域金融基础设施建设。</w:t>
      </w:r>
      <w:r>
        <w:rPr>
          <w:rFonts w:hint="eastAsia" w:ascii="仿宋_GB2312" w:hAnsi="仿宋_GB2312" w:eastAsia="仿宋_GB2312" w:cs="仿宋_GB2312"/>
          <w:color w:val="auto"/>
          <w:sz w:val="32"/>
          <w:szCs w:val="32"/>
          <w:highlight w:val="none"/>
          <w:u w:val="none"/>
          <w:lang w:val="en-US" w:eastAsia="zh-CN"/>
        </w:rPr>
        <w:t>积极向上争取全国性或区域性金融基础设施落地苏州。参与省级金融可信数据空间苏州试点建设，实现数据可信合规安全流通，助力金融机构拓展获客、风控等业务场景。推动预付卡资金监管平台提质扩面。</w:t>
      </w:r>
      <w:r>
        <w:rPr>
          <w:rFonts w:hint="eastAsia" w:ascii="仿宋_GB2312" w:hAnsi="仿宋_GB2312" w:eastAsia="仿宋_GB2312" w:cs="仿宋_GB2312"/>
          <w:color w:val="auto"/>
          <w:sz w:val="32"/>
          <w:szCs w:val="32"/>
          <w:highlight w:val="none"/>
          <w:u w:val="none"/>
          <w:lang w:val="en-US" w:eastAsia="zh-CN"/>
        </w:rPr>
        <w:t>持续推进地方企业征信平台建设，升级优化“征像”融资对接系统，促进融资精准对接。加快推进长三角金融研究院建设运行，打造立足苏州、服务长三角的新型金融智库。</w:t>
      </w:r>
      <w:r>
        <w:rPr>
          <w:rFonts w:hint="eastAsia" w:ascii="楷体_GB2312" w:hAnsi="楷体_GB2312" w:eastAsia="楷体_GB2312" w:cs="楷体_GB2312"/>
          <w:color w:val="auto"/>
          <w:sz w:val="32"/>
          <w:szCs w:val="32"/>
          <w:highlight w:val="none"/>
          <w:u w:val="none"/>
          <w:lang w:val="en-US" w:eastAsia="zh-CN"/>
        </w:rPr>
        <w:t>（市委金融办、市财政局、市商务局、市数据局、</w:t>
      </w:r>
      <w:r>
        <w:rPr>
          <w:rFonts w:hint="eastAsia" w:ascii="楷体_GB2312" w:hAnsi="楷体_GB2312" w:eastAsia="楷体_GB2312" w:cs="楷体_GB2312"/>
          <w:color w:val="auto"/>
          <w:spacing w:val="11"/>
          <w:sz w:val="32"/>
          <w:szCs w:val="32"/>
          <w:highlight w:val="none"/>
          <w:u w:val="none"/>
          <w:lang w:val="en-US" w:eastAsia="zh-CN"/>
        </w:rPr>
        <w:t>人民银行苏州市分行、苏州金融监管分局</w:t>
      </w:r>
      <w:r>
        <w:rPr>
          <w:rFonts w:hint="eastAsia" w:ascii="楷体_GB2312" w:hAnsi="楷体_GB2312" w:eastAsia="楷体_GB2312" w:cs="楷体_GB2312"/>
          <w:b w:val="0"/>
          <w:bCs w:val="0"/>
          <w:color w:val="auto"/>
          <w:sz w:val="32"/>
          <w:szCs w:val="32"/>
          <w:highlight w:val="none"/>
          <w:u w:val="none"/>
          <w:lang w:val="en-US" w:eastAsia="zh-CN"/>
        </w:rPr>
        <w:t>按职责分工负责</w:t>
      </w:r>
      <w:r>
        <w:rPr>
          <w:rFonts w:hint="eastAsia" w:ascii="楷体_GB2312" w:hAnsi="楷体_GB2312" w:eastAsia="楷体_GB2312" w:cs="楷体_GB2312"/>
          <w:color w:val="auto"/>
          <w:sz w:val="32"/>
          <w:szCs w:val="32"/>
          <w:highlight w:val="none"/>
          <w:u w:val="none"/>
          <w:lang w:val="en-US" w:eastAsia="zh-CN"/>
        </w:rPr>
        <w:t>）</w:t>
      </w:r>
    </w:p>
    <w:p w14:paraId="32BE563C">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黑体" w:hAnsi="黑体" w:eastAsia="黑体" w:cs="黑体"/>
          <w:b w:val="0"/>
          <w:bCs w:val="0"/>
          <w:color w:val="auto"/>
          <w:sz w:val="32"/>
          <w:szCs w:val="32"/>
          <w:highlight w:val="none"/>
          <w:u w:val="none"/>
          <w:lang w:val="en-US" w:eastAsia="zh-CN"/>
        </w:rPr>
      </w:pPr>
      <w:r>
        <w:rPr>
          <w:rFonts w:hint="eastAsia" w:ascii="黑体" w:hAnsi="黑体" w:eastAsia="黑体" w:cs="黑体"/>
          <w:b w:val="0"/>
          <w:bCs w:val="0"/>
          <w:color w:val="auto"/>
          <w:sz w:val="32"/>
          <w:szCs w:val="32"/>
          <w:highlight w:val="none"/>
          <w:u w:val="none"/>
          <w:lang w:val="en-US" w:eastAsia="zh-CN"/>
        </w:rPr>
        <w:t>二、规范机构经营行为，有力维护市场秩序</w:t>
      </w:r>
    </w:p>
    <w:p w14:paraId="62DB250C">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pacing w:val="11"/>
          <w:sz w:val="32"/>
          <w:szCs w:val="32"/>
          <w:highlight w:val="none"/>
          <w:u w:val="none"/>
          <w:lang w:val="en-US" w:eastAsia="zh-CN"/>
        </w:rPr>
      </w:pPr>
      <w:r>
        <w:rPr>
          <w:rFonts w:hint="eastAsia" w:ascii="楷体_GB2312" w:hAnsi="楷体_GB2312" w:eastAsia="楷体_GB2312" w:cs="楷体_GB2312"/>
          <w:b w:val="0"/>
          <w:bCs w:val="0"/>
          <w:color w:val="auto"/>
          <w:sz w:val="32"/>
          <w:szCs w:val="32"/>
          <w:highlight w:val="none"/>
          <w:u w:val="none"/>
          <w:lang w:val="en-US" w:eastAsia="zh-CN"/>
        </w:rPr>
        <w:t>（四）规范金融服务收费行为。</w:t>
      </w:r>
      <w:r>
        <w:rPr>
          <w:rFonts w:hint="eastAsia" w:ascii="仿宋_GB2312" w:hAnsi="仿宋_GB2312" w:eastAsia="仿宋_GB2312" w:cs="仿宋_GB2312"/>
          <w:color w:val="auto"/>
          <w:sz w:val="32"/>
          <w:szCs w:val="32"/>
          <w:highlight w:val="none"/>
          <w:u w:val="none"/>
          <w:lang w:val="en-US" w:eastAsia="zh-CN"/>
        </w:rPr>
        <w:t>引导金融企业提升存贷款定价能力，清理不合理金融服务收费，推动放贷机构明示贷款综合融资成本。督促辖内银行机构严格规范收费行为，坚决杜绝违规收费。继续严格执行“七不准、四公开”“两禁两限”等服务价格监管规定，落实各项优惠措施，确保“应免尽免”。</w:t>
      </w:r>
      <w:r>
        <w:rPr>
          <w:rFonts w:hint="default" w:ascii="仿宋_GB2312" w:hAnsi="仿宋_GB2312" w:eastAsia="仿宋_GB2312" w:cs="仿宋_GB2312"/>
          <w:color w:val="auto"/>
          <w:sz w:val="32"/>
          <w:szCs w:val="32"/>
          <w:highlight w:val="none"/>
          <w:u w:val="none"/>
          <w:lang w:val="en-US" w:eastAsia="zh-CN"/>
        </w:rPr>
        <w:t>督促地方金融组织在提供金融产品和服务时严格落实贷款年化综合成本明示要求，将相关执行情况纳入日常现场检查项目。</w:t>
      </w:r>
      <w:r>
        <w:rPr>
          <w:rFonts w:hint="eastAsia" w:ascii="仿宋_GB2312" w:hAnsi="仿宋_GB2312" w:eastAsia="仿宋_GB2312" w:cs="仿宋_GB2312"/>
          <w:color w:val="auto"/>
          <w:sz w:val="32"/>
          <w:szCs w:val="32"/>
          <w:highlight w:val="none"/>
          <w:u w:val="none"/>
          <w:lang w:val="en-US" w:eastAsia="zh-CN"/>
        </w:rPr>
        <w:t>严防地方金融组织超范围展业、损害其他经营者或消费者合法权益等乱象。</w:t>
      </w:r>
      <w:r>
        <w:rPr>
          <w:rFonts w:hint="eastAsia" w:ascii="楷体_GB2312" w:hAnsi="楷体_GB2312" w:eastAsia="楷体_GB2312" w:cs="楷体_GB2312"/>
          <w:color w:val="auto"/>
          <w:spacing w:val="11"/>
          <w:sz w:val="32"/>
          <w:szCs w:val="32"/>
          <w:highlight w:val="none"/>
          <w:u w:val="none"/>
          <w:lang w:val="en-US" w:eastAsia="zh-CN"/>
        </w:rPr>
        <w:t>（市委金融办、人民银行苏州市分行、苏州金融监管分局</w:t>
      </w:r>
      <w:r>
        <w:rPr>
          <w:rFonts w:hint="eastAsia" w:ascii="楷体_GB2312" w:hAnsi="楷体_GB2312" w:eastAsia="楷体_GB2312" w:cs="楷体_GB2312"/>
          <w:b w:val="0"/>
          <w:bCs w:val="0"/>
          <w:color w:val="auto"/>
          <w:sz w:val="32"/>
          <w:szCs w:val="32"/>
          <w:highlight w:val="none"/>
          <w:u w:val="none"/>
          <w:lang w:val="en-US" w:eastAsia="zh-CN"/>
        </w:rPr>
        <w:t>按职责分工负责</w:t>
      </w:r>
      <w:r>
        <w:rPr>
          <w:rFonts w:hint="eastAsia" w:ascii="楷体_GB2312" w:hAnsi="楷体_GB2312" w:eastAsia="楷体_GB2312" w:cs="楷体_GB2312"/>
          <w:color w:val="auto"/>
          <w:spacing w:val="11"/>
          <w:sz w:val="32"/>
          <w:szCs w:val="32"/>
          <w:highlight w:val="none"/>
          <w:u w:val="none"/>
          <w:lang w:val="en-US" w:eastAsia="zh-CN"/>
        </w:rPr>
        <w:t>）</w:t>
      </w:r>
    </w:p>
    <w:p w14:paraId="4A2591FF">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spacing w:val="11"/>
          <w:sz w:val="32"/>
          <w:szCs w:val="32"/>
          <w:highlight w:val="none"/>
          <w:u w:val="none"/>
          <w:lang w:val="en-US" w:eastAsia="zh-CN"/>
        </w:rPr>
      </w:pPr>
      <w:r>
        <w:rPr>
          <w:rFonts w:hint="eastAsia" w:ascii="楷体_GB2312" w:hAnsi="楷体_GB2312" w:eastAsia="楷体_GB2312" w:cs="楷体_GB2312"/>
          <w:b w:val="0"/>
          <w:bCs w:val="0"/>
          <w:color w:val="auto"/>
          <w:sz w:val="32"/>
          <w:szCs w:val="32"/>
          <w:highlight w:val="none"/>
          <w:u w:val="none"/>
          <w:lang w:val="en-US" w:eastAsia="zh-CN"/>
        </w:rPr>
        <w:t>（五）培育专业中介服务力量。</w:t>
      </w:r>
      <w:r>
        <w:rPr>
          <w:rFonts w:hint="eastAsia" w:ascii="仿宋_GB2312" w:hAnsi="仿宋_GB2312" w:eastAsia="仿宋_GB2312" w:cs="仿宋_GB2312"/>
          <w:color w:val="auto"/>
          <w:sz w:val="32"/>
          <w:szCs w:val="32"/>
          <w:highlight w:val="none"/>
          <w:u w:val="none"/>
          <w:lang w:val="en-US" w:eastAsia="zh-CN"/>
        </w:rPr>
        <w:t>培育一批内部治理完善、执业严谨规范、社会信誉良好、具有国际竞争力的会计师事务所、律师事务所、资产评估机构以及从事财务顾问、信息技术系统支持等业务的第三方中介机构。修订完善行业支持政策，强化中介机构的业务指导、监督和行业自律。加强打击金融领域“黑灰产”宣传，组织金融机构员工签署承诺书，营造自觉抵制不法中介的良好氛围。</w:t>
      </w:r>
      <w:r>
        <w:rPr>
          <w:rFonts w:hint="eastAsia" w:ascii="楷体_GB2312" w:hAnsi="楷体_GB2312" w:eastAsia="楷体_GB2312" w:cs="楷体_GB2312"/>
          <w:color w:val="auto"/>
          <w:spacing w:val="11"/>
          <w:sz w:val="32"/>
          <w:szCs w:val="32"/>
          <w:highlight w:val="none"/>
          <w:u w:val="none"/>
          <w:lang w:val="en-US" w:eastAsia="zh-CN"/>
        </w:rPr>
        <w:t>（市委金融办、市公安局、市财政局、市司法局、人民银行苏州市分行、苏州金融监管分局</w:t>
      </w:r>
      <w:r>
        <w:rPr>
          <w:rFonts w:hint="eastAsia" w:ascii="楷体_GB2312" w:hAnsi="楷体_GB2312" w:eastAsia="楷体_GB2312" w:cs="楷体_GB2312"/>
          <w:b w:val="0"/>
          <w:bCs w:val="0"/>
          <w:color w:val="auto"/>
          <w:sz w:val="32"/>
          <w:szCs w:val="32"/>
          <w:highlight w:val="none"/>
          <w:u w:val="none"/>
          <w:lang w:val="en-US" w:eastAsia="zh-CN"/>
        </w:rPr>
        <w:t>按职责分工负责</w:t>
      </w:r>
      <w:r>
        <w:rPr>
          <w:rFonts w:hint="eastAsia" w:ascii="楷体_GB2312" w:hAnsi="楷体_GB2312" w:eastAsia="楷体_GB2312" w:cs="楷体_GB2312"/>
          <w:color w:val="auto"/>
          <w:spacing w:val="11"/>
          <w:sz w:val="32"/>
          <w:szCs w:val="32"/>
          <w:highlight w:val="none"/>
          <w:u w:val="none"/>
          <w:lang w:val="en-US" w:eastAsia="zh-CN"/>
        </w:rPr>
        <w:t>）</w:t>
      </w:r>
    </w:p>
    <w:p w14:paraId="05922F41">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楷体_GB2312" w:hAnsi="方正楷体_GB2312" w:eastAsia="方正楷体_GB2312" w:cs="方正楷体_GB2312"/>
          <w:b w:val="0"/>
          <w:bCs w:val="0"/>
          <w:color w:val="auto"/>
          <w:sz w:val="32"/>
          <w:szCs w:val="32"/>
          <w:highlight w:val="none"/>
          <w:u w:val="none"/>
          <w:lang w:val="en-US" w:eastAsia="zh-CN"/>
        </w:rPr>
      </w:pPr>
      <w:r>
        <w:rPr>
          <w:rFonts w:hint="eastAsia" w:ascii="楷体_GB2312" w:hAnsi="楷体_GB2312" w:eastAsia="楷体_GB2312" w:cs="楷体_GB2312"/>
          <w:b w:val="0"/>
          <w:bCs w:val="0"/>
          <w:color w:val="auto"/>
          <w:sz w:val="32"/>
          <w:szCs w:val="32"/>
          <w:highlight w:val="none"/>
          <w:u w:val="none"/>
          <w:lang w:val="en-US" w:eastAsia="zh-CN"/>
        </w:rPr>
        <w:t>（六）加强金融消费者权益保护。</w:t>
      </w:r>
      <w:r>
        <w:rPr>
          <w:rFonts w:hint="default" w:ascii="仿宋_GB2312" w:hAnsi="仿宋_GB2312" w:eastAsia="仿宋_GB2312" w:cs="仿宋_GB2312"/>
          <w:color w:val="auto"/>
          <w:sz w:val="32"/>
          <w:szCs w:val="32"/>
          <w:highlight w:val="none"/>
          <w:u w:val="none"/>
          <w:lang w:val="en-US" w:eastAsia="zh-CN"/>
        </w:rPr>
        <w:t>指导辖内</w:t>
      </w:r>
      <w:r>
        <w:rPr>
          <w:rFonts w:hint="eastAsia" w:ascii="仿宋_GB2312" w:hAnsi="仿宋_GB2312" w:eastAsia="仿宋_GB2312" w:cs="仿宋_GB2312"/>
          <w:color w:val="auto"/>
          <w:sz w:val="32"/>
          <w:szCs w:val="32"/>
          <w:highlight w:val="none"/>
          <w:u w:val="none"/>
          <w:lang w:val="en-US" w:eastAsia="zh-CN"/>
        </w:rPr>
        <w:t>金融</w:t>
      </w:r>
      <w:r>
        <w:rPr>
          <w:rFonts w:hint="default" w:ascii="仿宋_GB2312" w:hAnsi="仿宋_GB2312" w:eastAsia="仿宋_GB2312" w:cs="仿宋_GB2312"/>
          <w:color w:val="auto"/>
          <w:sz w:val="32"/>
          <w:szCs w:val="32"/>
          <w:highlight w:val="none"/>
          <w:u w:val="none"/>
          <w:lang w:val="en-US" w:eastAsia="zh-CN"/>
        </w:rPr>
        <w:t>机构</w:t>
      </w:r>
      <w:r>
        <w:rPr>
          <w:rFonts w:hint="eastAsia" w:ascii="仿宋_GB2312" w:hAnsi="仿宋_GB2312" w:eastAsia="仿宋_GB2312" w:cs="仿宋_GB2312"/>
          <w:color w:val="auto"/>
          <w:sz w:val="32"/>
          <w:szCs w:val="32"/>
          <w:highlight w:val="none"/>
          <w:u w:val="none"/>
          <w:lang w:val="en-US" w:eastAsia="zh-CN"/>
        </w:rPr>
        <w:t>加强投诉处理、多元化解等消保工作机制建设。聚焦重点人群、重点时机，通过金融机构网点、公共服务平台、各类媒体等多维度开展反诈宣传，提升群众防骗意识。组织开展“守住钱袋子·护好幸福家”短视频大赛，“平安苏州·防非同行”法治宣讲，“金融知识、国民财商进校园”“金护乐龄”等防非宣传，引导群众远离非法集资等非法金融活动。</w:t>
      </w:r>
      <w:r>
        <w:rPr>
          <w:rFonts w:hint="eastAsia" w:ascii="楷体_GB2312" w:hAnsi="楷体_GB2312" w:eastAsia="楷体_GB2312" w:cs="楷体_GB2312"/>
          <w:color w:val="auto"/>
          <w:spacing w:val="11"/>
          <w:sz w:val="32"/>
          <w:szCs w:val="32"/>
          <w:highlight w:val="none"/>
          <w:u w:val="none"/>
          <w:lang w:val="en-US" w:eastAsia="zh-CN"/>
        </w:rPr>
        <w:t>（市委金融办、市公安局、人民银行苏州市分行、苏州金融监管分局</w:t>
      </w:r>
      <w:r>
        <w:rPr>
          <w:rFonts w:hint="eastAsia" w:ascii="楷体_GB2312" w:hAnsi="楷体_GB2312" w:eastAsia="楷体_GB2312" w:cs="楷体_GB2312"/>
          <w:b w:val="0"/>
          <w:bCs w:val="0"/>
          <w:color w:val="auto"/>
          <w:sz w:val="32"/>
          <w:szCs w:val="32"/>
          <w:highlight w:val="none"/>
          <w:u w:val="none"/>
          <w:lang w:val="en-US" w:eastAsia="zh-CN"/>
        </w:rPr>
        <w:t>按职责分工负责</w:t>
      </w:r>
      <w:r>
        <w:rPr>
          <w:rFonts w:hint="eastAsia" w:ascii="楷体_GB2312" w:hAnsi="楷体_GB2312" w:eastAsia="楷体_GB2312" w:cs="楷体_GB2312"/>
          <w:color w:val="auto"/>
          <w:spacing w:val="11"/>
          <w:sz w:val="32"/>
          <w:szCs w:val="32"/>
          <w:highlight w:val="none"/>
          <w:u w:val="none"/>
          <w:lang w:val="en-US" w:eastAsia="zh-CN"/>
        </w:rPr>
        <w:t>）</w:t>
      </w:r>
    </w:p>
    <w:p w14:paraId="3C55ACE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b w:val="0"/>
          <w:bCs w:val="0"/>
          <w:color w:val="auto"/>
          <w:sz w:val="32"/>
          <w:szCs w:val="32"/>
          <w:highlight w:val="none"/>
          <w:u w:val="none"/>
          <w:lang w:val="en-US" w:eastAsia="zh-CN"/>
        </w:rPr>
      </w:pPr>
      <w:r>
        <w:rPr>
          <w:rFonts w:hint="eastAsia" w:ascii="黑体" w:hAnsi="黑体" w:eastAsia="黑体" w:cs="黑体"/>
          <w:b w:val="0"/>
          <w:bCs w:val="0"/>
          <w:color w:val="auto"/>
          <w:sz w:val="32"/>
          <w:szCs w:val="32"/>
          <w:highlight w:val="none"/>
          <w:u w:val="none"/>
          <w:lang w:val="en-US" w:eastAsia="zh-CN"/>
        </w:rPr>
        <w:t>三、加强金融风险防范处置，依法保障金融安全</w:t>
      </w:r>
    </w:p>
    <w:p w14:paraId="5D85E71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pacing w:val="11"/>
          <w:kern w:val="2"/>
          <w:sz w:val="32"/>
          <w:szCs w:val="32"/>
          <w:highlight w:val="none"/>
          <w:u w:val="none"/>
          <w:lang w:val="en-US" w:eastAsia="zh-CN" w:bidi="ar-SA"/>
        </w:rPr>
      </w:pPr>
      <w:r>
        <w:rPr>
          <w:rFonts w:hint="eastAsia" w:ascii="楷体_GB2312" w:hAnsi="楷体_GB2312" w:eastAsia="楷体_GB2312" w:cs="楷体_GB2312"/>
          <w:b w:val="0"/>
          <w:bCs w:val="0"/>
          <w:color w:val="auto"/>
          <w:sz w:val="32"/>
          <w:szCs w:val="32"/>
          <w:highlight w:val="none"/>
          <w:u w:val="none"/>
          <w:lang w:val="en-US" w:eastAsia="zh-CN"/>
        </w:rPr>
        <w:t>（七）完善协同治理和信息共享。</w:t>
      </w:r>
      <w:r>
        <w:rPr>
          <w:rFonts w:hint="eastAsia" w:ascii="仿宋_GB2312" w:hAnsi="仿宋_GB2312" w:eastAsia="仿宋_GB2312" w:cs="仿宋_GB2312"/>
          <w:color w:val="auto"/>
          <w:sz w:val="32"/>
          <w:szCs w:val="32"/>
          <w:highlight w:val="none"/>
          <w:u w:val="none"/>
          <w:lang w:val="en-US" w:eastAsia="zh-CN"/>
        </w:rPr>
        <w:t>建立涉金融案件数据共享机制，定期跟踪重点非法金融案件办理进度，在案件线索发现移送、重点线索研判、信息共享、行业治理等方面强化协作。落实金融风险日监测、周研判、月分析、季报告制度，强化金融管理部门、司法部门的协同监测预警与分析研判。抓好非法集资等非法金融案件的行刑衔接，提升金融风险的处置效率。指导辖内金融机构、地方金融组织主动对接司法机关，配合推进金融案件的办理进度。</w:t>
      </w:r>
      <w:r>
        <w:rPr>
          <w:rFonts w:hint="eastAsia" w:ascii="楷体_GB2312" w:hAnsi="楷体_GB2312" w:eastAsia="楷体_GB2312" w:cs="楷体_GB2312"/>
          <w:color w:val="auto"/>
          <w:spacing w:val="11"/>
          <w:kern w:val="2"/>
          <w:sz w:val="32"/>
          <w:szCs w:val="32"/>
          <w:highlight w:val="none"/>
          <w:u w:val="none"/>
          <w:lang w:val="en-US" w:eastAsia="zh-CN" w:bidi="ar-SA"/>
        </w:rPr>
        <w:t>（市委金融办、市法院、市检察院、市公安局、人民银行苏州市分行、苏州金融监管分局</w:t>
      </w:r>
      <w:r>
        <w:rPr>
          <w:rFonts w:hint="eastAsia" w:ascii="楷体_GB2312" w:hAnsi="楷体_GB2312" w:eastAsia="楷体_GB2312" w:cs="楷体_GB2312"/>
          <w:b w:val="0"/>
          <w:bCs w:val="0"/>
          <w:color w:val="auto"/>
          <w:sz w:val="32"/>
          <w:szCs w:val="32"/>
          <w:highlight w:val="none"/>
          <w:u w:val="none"/>
          <w:lang w:val="en-US" w:eastAsia="zh-CN"/>
        </w:rPr>
        <w:t>按职责分工负责</w:t>
      </w:r>
      <w:r>
        <w:rPr>
          <w:rFonts w:hint="eastAsia" w:ascii="楷体_GB2312" w:hAnsi="楷体_GB2312" w:eastAsia="楷体_GB2312" w:cs="楷体_GB2312"/>
          <w:color w:val="auto"/>
          <w:spacing w:val="11"/>
          <w:kern w:val="2"/>
          <w:sz w:val="32"/>
          <w:szCs w:val="32"/>
          <w:highlight w:val="none"/>
          <w:u w:val="none"/>
          <w:lang w:val="en-US" w:eastAsia="zh-CN" w:bidi="ar-SA"/>
        </w:rPr>
        <w:t>）</w:t>
      </w:r>
    </w:p>
    <w:p w14:paraId="130D9DB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firstLine="640" w:firstLineChars="200"/>
        <w:jc w:val="both"/>
        <w:textAlignment w:val="auto"/>
        <w:rPr>
          <w:rFonts w:hint="eastAsia" w:ascii="方正楷体_GB2312" w:hAnsi="方正楷体_GB2312" w:eastAsia="方正楷体_GB2312" w:cs="方正楷体_GB2312"/>
          <w:b w:val="0"/>
          <w:bCs w:val="0"/>
          <w:color w:val="auto"/>
          <w:sz w:val="32"/>
          <w:szCs w:val="32"/>
          <w:highlight w:val="none"/>
          <w:u w:val="none"/>
          <w:lang w:val="en-US" w:eastAsia="zh-CN"/>
        </w:rPr>
      </w:pPr>
      <w:r>
        <w:rPr>
          <w:rFonts w:hint="eastAsia" w:ascii="楷体_GB2312" w:hAnsi="楷体_GB2312" w:eastAsia="楷体_GB2312" w:cs="楷体_GB2312"/>
          <w:b w:val="0"/>
          <w:bCs w:val="0"/>
          <w:color w:val="auto"/>
          <w:kern w:val="2"/>
          <w:sz w:val="32"/>
          <w:szCs w:val="32"/>
          <w:highlight w:val="none"/>
          <w:u w:val="none"/>
          <w:lang w:val="en-US" w:eastAsia="zh-CN" w:bidi="ar-SA"/>
        </w:rPr>
        <w:t>（八）健全金融审判与仲裁机制。</w:t>
      </w:r>
      <w:r>
        <w:rPr>
          <w:rFonts w:hint="eastAsia" w:ascii="仿宋_GB2312" w:hAnsi="仿宋_GB2312" w:eastAsia="仿宋_GB2312" w:cs="仿宋_GB2312"/>
          <w:color w:val="auto"/>
          <w:kern w:val="2"/>
          <w:sz w:val="32"/>
          <w:szCs w:val="32"/>
          <w:highlight w:val="none"/>
          <w:u w:val="none"/>
          <w:lang w:val="en-US" w:eastAsia="zh-CN" w:bidi="ar-SA"/>
        </w:rPr>
        <w:t>鼓励暂未设立金融审判庭的地区将金融案件集中到专业审判团队或合议庭审理，完善专业化审判体系。优化代表人诉讼、示范判决、类案裁判等机制，完善专家证人、专家陪审员制度，提高诉讼效率。建立逃废债风险协调处置工作架构，严厉打击逃废债。</w:t>
      </w:r>
      <w:r>
        <w:rPr>
          <w:rFonts w:hint="default" w:ascii="仿宋_GB2312" w:hAnsi="仿宋_GB2312" w:eastAsia="仿宋_GB2312" w:cs="仿宋_GB2312"/>
          <w:color w:val="auto"/>
          <w:kern w:val="2"/>
          <w:sz w:val="32"/>
          <w:szCs w:val="32"/>
          <w:highlight w:val="none"/>
          <w:u w:val="none"/>
          <w:lang w:val="en-US" w:eastAsia="zh-CN" w:bidi="ar-SA"/>
        </w:rPr>
        <w:t>鼓励</w:t>
      </w:r>
      <w:r>
        <w:rPr>
          <w:rFonts w:hint="eastAsia" w:ascii="仿宋_GB2312" w:hAnsi="仿宋_GB2312" w:eastAsia="仿宋_GB2312" w:cs="仿宋_GB2312"/>
          <w:color w:val="auto"/>
          <w:kern w:val="2"/>
          <w:sz w:val="32"/>
          <w:szCs w:val="32"/>
          <w:highlight w:val="none"/>
          <w:u w:val="none"/>
          <w:lang w:val="en-US" w:eastAsia="zh-CN" w:bidi="ar-SA"/>
        </w:rPr>
        <w:t>金融机构、</w:t>
      </w:r>
      <w:r>
        <w:rPr>
          <w:rFonts w:hint="default" w:ascii="仿宋_GB2312" w:hAnsi="仿宋_GB2312" w:eastAsia="仿宋_GB2312" w:cs="仿宋_GB2312"/>
          <w:color w:val="auto"/>
          <w:kern w:val="2"/>
          <w:sz w:val="32"/>
          <w:szCs w:val="32"/>
          <w:highlight w:val="none"/>
          <w:u w:val="none"/>
          <w:lang w:val="en-US" w:eastAsia="zh-CN" w:bidi="ar-SA"/>
        </w:rPr>
        <w:t>地方金融组织积极参与类个人破产程序，支持苏州资产管理公司探索批量受让已经纳入不良的个人消费贷款、信用卡透支、个人经营类信用贷款方式，解决金融机构债权人参与类个人破产程序成本高、权限低的问题</w:t>
      </w:r>
      <w:r>
        <w:rPr>
          <w:rFonts w:hint="eastAsia" w:ascii="仿宋_GB2312" w:hAnsi="仿宋_GB2312" w:eastAsia="仿宋_GB2312" w:cs="仿宋_GB2312"/>
          <w:color w:val="auto"/>
          <w:kern w:val="2"/>
          <w:sz w:val="32"/>
          <w:szCs w:val="32"/>
          <w:highlight w:val="none"/>
          <w:u w:val="none"/>
          <w:lang w:val="en-US" w:eastAsia="zh-CN" w:bidi="ar-SA"/>
        </w:rPr>
        <w:t>。依法审理上市公司证券虚假陈述纠纷，支持风险上市公司</w:t>
      </w:r>
      <w:r>
        <w:rPr>
          <w:rFonts w:hint="default" w:ascii="仿宋_GB2312" w:hAnsi="仿宋_GB2312" w:eastAsia="仿宋_GB2312" w:cs="仿宋_GB2312"/>
          <w:color w:val="auto"/>
          <w:kern w:val="2"/>
          <w:sz w:val="32"/>
          <w:szCs w:val="32"/>
          <w:highlight w:val="none"/>
          <w:u w:val="none"/>
          <w:lang w:val="en-US" w:eastAsia="zh-CN" w:bidi="ar-SA"/>
        </w:rPr>
        <w:t>通过</w:t>
      </w:r>
      <w:r>
        <w:rPr>
          <w:rFonts w:hint="eastAsia" w:ascii="仿宋_GB2312" w:hAnsi="仿宋_GB2312" w:eastAsia="仿宋_GB2312" w:cs="仿宋_GB2312"/>
          <w:color w:val="auto"/>
          <w:kern w:val="2"/>
          <w:sz w:val="32"/>
          <w:szCs w:val="32"/>
          <w:highlight w:val="none"/>
          <w:u w:val="none"/>
          <w:lang w:val="en-US" w:eastAsia="zh-CN" w:bidi="ar-SA"/>
        </w:rPr>
        <w:t>破产重整等</w:t>
      </w:r>
      <w:r>
        <w:rPr>
          <w:rFonts w:hint="default" w:ascii="仿宋_GB2312" w:hAnsi="仿宋_GB2312" w:eastAsia="仿宋_GB2312" w:cs="仿宋_GB2312"/>
          <w:color w:val="auto"/>
          <w:kern w:val="2"/>
          <w:sz w:val="32"/>
          <w:szCs w:val="32"/>
          <w:highlight w:val="none"/>
          <w:u w:val="none"/>
          <w:lang w:val="en-US" w:eastAsia="zh-CN" w:bidi="ar-SA"/>
        </w:rPr>
        <w:t>方式</w:t>
      </w:r>
      <w:r>
        <w:rPr>
          <w:rFonts w:hint="eastAsia" w:ascii="仿宋_GB2312" w:hAnsi="仿宋_GB2312" w:eastAsia="仿宋_GB2312" w:cs="仿宋_GB2312"/>
          <w:color w:val="auto"/>
          <w:kern w:val="2"/>
          <w:sz w:val="32"/>
          <w:szCs w:val="32"/>
          <w:highlight w:val="none"/>
          <w:u w:val="none"/>
          <w:lang w:val="en-US" w:eastAsia="zh-CN" w:bidi="ar-SA"/>
        </w:rPr>
        <w:t>化解处置</w:t>
      </w:r>
      <w:r>
        <w:rPr>
          <w:rFonts w:hint="default" w:ascii="仿宋_GB2312" w:hAnsi="仿宋_GB2312" w:eastAsia="仿宋_GB2312" w:cs="仿宋_GB2312"/>
          <w:color w:val="auto"/>
          <w:kern w:val="2"/>
          <w:sz w:val="32"/>
          <w:szCs w:val="32"/>
          <w:highlight w:val="none"/>
          <w:u w:val="none"/>
          <w:lang w:val="en-US" w:eastAsia="zh-CN" w:bidi="ar-SA"/>
        </w:rPr>
        <w:t>风险</w:t>
      </w:r>
      <w:r>
        <w:rPr>
          <w:rFonts w:hint="eastAsia" w:ascii="仿宋_GB2312" w:hAnsi="仿宋_GB2312" w:eastAsia="仿宋_GB2312" w:cs="仿宋_GB2312"/>
          <w:color w:val="auto"/>
          <w:kern w:val="2"/>
          <w:sz w:val="32"/>
          <w:szCs w:val="32"/>
          <w:highlight w:val="none"/>
          <w:u w:val="none"/>
          <w:lang w:val="en-US" w:eastAsia="zh-CN" w:bidi="ar-SA"/>
        </w:rPr>
        <w:t>。</w:t>
      </w:r>
      <w:r>
        <w:rPr>
          <w:rFonts w:hint="eastAsia" w:ascii="楷体_GB2312" w:hAnsi="楷体_GB2312" w:eastAsia="楷体_GB2312" w:cs="楷体_GB2312"/>
          <w:color w:val="auto"/>
          <w:spacing w:val="11"/>
          <w:sz w:val="32"/>
          <w:szCs w:val="32"/>
          <w:highlight w:val="none"/>
          <w:u w:val="none"/>
          <w:lang w:val="en-US" w:eastAsia="zh-CN"/>
        </w:rPr>
        <w:t>（市委金融办、市法院、人民银行苏州市分行、苏州金融监管分局</w:t>
      </w:r>
      <w:r>
        <w:rPr>
          <w:rFonts w:hint="eastAsia" w:ascii="楷体_GB2312" w:hAnsi="楷体_GB2312" w:eastAsia="楷体_GB2312" w:cs="楷体_GB2312"/>
          <w:b w:val="0"/>
          <w:bCs w:val="0"/>
          <w:color w:val="auto"/>
          <w:sz w:val="32"/>
          <w:szCs w:val="32"/>
          <w:highlight w:val="none"/>
          <w:u w:val="none"/>
          <w:lang w:val="en-US" w:eastAsia="zh-CN"/>
        </w:rPr>
        <w:t>按职责分工负责</w:t>
      </w:r>
      <w:r>
        <w:rPr>
          <w:rFonts w:hint="eastAsia" w:ascii="楷体_GB2312" w:hAnsi="楷体_GB2312" w:eastAsia="楷体_GB2312" w:cs="楷体_GB2312"/>
          <w:color w:val="auto"/>
          <w:spacing w:val="11"/>
          <w:sz w:val="32"/>
          <w:szCs w:val="32"/>
          <w:highlight w:val="none"/>
          <w:u w:val="none"/>
          <w:lang w:val="en-US" w:eastAsia="zh-CN"/>
        </w:rPr>
        <w:t>）</w:t>
      </w:r>
    </w:p>
    <w:p w14:paraId="6870FD1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pacing w:val="11"/>
          <w:sz w:val="32"/>
          <w:szCs w:val="32"/>
          <w:highlight w:val="none"/>
          <w:u w:val="none"/>
          <w:lang w:val="en-US" w:eastAsia="zh-CN"/>
        </w:rPr>
      </w:pPr>
      <w:r>
        <w:rPr>
          <w:rFonts w:hint="eastAsia" w:ascii="楷体_GB2312" w:hAnsi="楷体_GB2312" w:eastAsia="楷体_GB2312" w:cs="楷体_GB2312"/>
          <w:b w:val="0"/>
          <w:bCs w:val="0"/>
          <w:color w:val="auto"/>
          <w:sz w:val="32"/>
          <w:szCs w:val="32"/>
          <w:highlight w:val="none"/>
          <w:u w:val="none"/>
          <w:lang w:val="en-US" w:eastAsia="zh-CN"/>
        </w:rPr>
        <w:t>（九）构建多元解纷与风险防控格局。</w:t>
      </w:r>
      <w:r>
        <w:rPr>
          <w:rFonts w:hint="eastAsia" w:ascii="仿宋_GB2312" w:hAnsi="仿宋_GB2312" w:eastAsia="仿宋_GB2312" w:cs="仿宋_GB2312"/>
          <w:color w:val="auto"/>
          <w:sz w:val="32"/>
          <w:szCs w:val="32"/>
          <w:highlight w:val="none"/>
          <w:u w:val="none"/>
          <w:lang w:val="en-US" w:eastAsia="zh-CN"/>
        </w:rPr>
        <w:t>构建“法院+金融监管+行业自治”金融调解格局，建立“风险预警—前端防控—类案治理”全周期管理体系，联合发布金融风险白皮书、司法建议书，推动金融机构完善贷前审查、贷后跟踪机制。指导金融行业人民调解组织规范化建设，培育金融领域商事调解组织。发挥金融矛盾纠纷调解服务点作用，健全金融矛盾纠纷化解机制。督促金融机构、地方金融组织</w:t>
      </w:r>
      <w:r>
        <w:rPr>
          <w:rFonts w:hint="default" w:ascii="仿宋_GB2312" w:hAnsi="仿宋_GB2312" w:eastAsia="仿宋_GB2312" w:cs="仿宋_GB2312"/>
          <w:color w:val="auto"/>
          <w:sz w:val="32"/>
          <w:szCs w:val="32"/>
          <w:highlight w:val="none"/>
          <w:u w:val="none"/>
          <w:lang w:val="en-US" w:eastAsia="zh-CN"/>
        </w:rPr>
        <w:t>健全争议处理机制，落实投诉处理主体责任</w:t>
      </w:r>
      <w:r>
        <w:rPr>
          <w:rFonts w:hint="eastAsia" w:ascii="仿宋_GB2312" w:hAnsi="仿宋_GB2312" w:eastAsia="仿宋_GB2312" w:cs="仿宋_GB2312"/>
          <w:color w:val="auto"/>
          <w:sz w:val="32"/>
          <w:szCs w:val="32"/>
          <w:highlight w:val="none"/>
          <w:u w:val="none"/>
          <w:lang w:val="en-US" w:eastAsia="zh-CN"/>
        </w:rPr>
        <w:t>，将矛盾纠纷化解在萌芽阶段。</w:t>
      </w:r>
      <w:r>
        <w:rPr>
          <w:rFonts w:hint="eastAsia" w:ascii="楷体_GB2312" w:hAnsi="楷体_GB2312" w:eastAsia="楷体_GB2312" w:cs="楷体_GB2312"/>
          <w:b w:val="0"/>
          <w:bCs w:val="0"/>
          <w:color w:val="auto"/>
          <w:sz w:val="32"/>
          <w:szCs w:val="32"/>
          <w:highlight w:val="none"/>
          <w:u w:val="none"/>
          <w:lang w:val="en-US" w:eastAsia="zh-CN"/>
        </w:rPr>
        <w:t>（市委金融办、市法院、市公安局、市司法局、人民银行苏州市分行、苏州金融监管分局按职责分工负责）</w:t>
      </w:r>
    </w:p>
    <w:p w14:paraId="6978D4C3">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jc w:val="both"/>
        <w:textAlignment w:val="auto"/>
        <w:rPr>
          <w:rFonts w:hint="default" w:ascii="仿宋_GB2312" w:hAnsi="仿宋_GB2312" w:eastAsia="仿宋_GB2312" w:cs="仿宋_GB2312"/>
          <w:color w:val="auto"/>
          <w:sz w:val="32"/>
          <w:szCs w:val="32"/>
          <w:highlight w:val="none"/>
          <w:u w:val="none"/>
          <w:lang w:val="en-US" w:eastAsia="zh-CN"/>
        </w:rPr>
      </w:pPr>
      <w:r>
        <w:rPr>
          <w:rFonts w:hint="eastAsia" w:ascii="楷体_GB2312" w:hAnsi="楷体_GB2312" w:eastAsia="楷体_GB2312" w:cs="楷体_GB2312"/>
          <w:b w:val="0"/>
          <w:bCs w:val="0"/>
          <w:color w:val="auto"/>
          <w:sz w:val="32"/>
          <w:szCs w:val="32"/>
          <w:highlight w:val="none"/>
          <w:u w:val="none"/>
          <w:lang w:val="en-US" w:eastAsia="zh-CN"/>
        </w:rPr>
        <w:t>（十）强化重大金融风险防范处置。</w:t>
      </w:r>
      <w:r>
        <w:rPr>
          <w:rFonts w:hint="eastAsia" w:ascii="仿宋_GB2312" w:hAnsi="仿宋_GB2312" w:eastAsia="仿宋_GB2312" w:cs="仿宋_GB2312"/>
          <w:color w:val="auto"/>
          <w:sz w:val="32"/>
          <w:szCs w:val="32"/>
          <w:highlight w:val="none"/>
          <w:u w:val="none"/>
          <w:lang w:val="en-US" w:eastAsia="zh-CN"/>
        </w:rPr>
        <w:t>指导中小法人金融机构多渠道补充资本。稳妥推进村镇银行改革化险，巩固我市无高风险机构成果。</w:t>
      </w:r>
      <w:r>
        <w:rPr>
          <w:rFonts w:hint="default" w:ascii="仿宋_GB2312" w:hAnsi="仿宋_GB2312" w:eastAsia="仿宋_GB2312" w:cs="仿宋_GB2312"/>
          <w:color w:val="auto"/>
          <w:sz w:val="32"/>
          <w:szCs w:val="32"/>
          <w:highlight w:val="none"/>
          <w:u w:val="none"/>
          <w:lang w:val="en-US" w:eastAsia="zh-CN"/>
        </w:rPr>
        <w:t>推进地方金融组织规范整治</w:t>
      </w:r>
      <w:r>
        <w:rPr>
          <w:rFonts w:hint="eastAsia" w:ascii="仿宋_GB2312" w:hAnsi="仿宋_GB2312" w:eastAsia="仿宋_GB2312" w:cs="仿宋_GB2312"/>
          <w:color w:val="auto"/>
          <w:sz w:val="32"/>
          <w:szCs w:val="32"/>
          <w:highlight w:val="none"/>
          <w:u w:val="none"/>
          <w:lang w:val="en-US" w:eastAsia="zh-CN"/>
        </w:rPr>
        <w:t>，从严监管地方金融组织，推动清理不合规经营机构。贯彻落实上市公司退市风险防控处置工作预案，“一企一策”化解退市风险。发挥市打非机制作用，用好防范非法金融活动工作站，构建</w:t>
      </w:r>
      <w:bookmarkStart w:id="2" w:name="OLE_LINK1"/>
      <w:r>
        <w:rPr>
          <w:rFonts w:hint="eastAsia" w:ascii="仿宋_GB2312" w:hAnsi="仿宋_GB2312" w:eastAsia="仿宋_GB2312" w:cs="仿宋_GB2312"/>
          <w:color w:val="auto"/>
          <w:sz w:val="32"/>
          <w:szCs w:val="32"/>
          <w:highlight w:val="none"/>
          <w:u w:val="none"/>
          <w:lang w:val="en-US" w:eastAsia="zh-CN"/>
        </w:rPr>
        <w:t>“上下联动、部门协同</w:t>
      </w:r>
      <w:r>
        <w:rPr>
          <w:rFonts w:hint="default" w:ascii="仿宋_GB2312" w:hAnsi="仿宋_GB2312" w:eastAsia="仿宋_GB2312" w:cs="仿宋_GB2312"/>
          <w:color w:val="auto"/>
          <w:sz w:val="32"/>
          <w:szCs w:val="32"/>
          <w:highlight w:val="none"/>
          <w:u w:val="none"/>
          <w:lang w:val="en-US" w:eastAsia="zh-CN"/>
        </w:rPr>
        <w:t>、群防群治</w:t>
      </w:r>
      <w:r>
        <w:rPr>
          <w:rFonts w:hint="eastAsia" w:ascii="仿宋_GB2312" w:hAnsi="仿宋_GB2312" w:eastAsia="仿宋_GB2312" w:cs="仿宋_GB2312"/>
          <w:color w:val="auto"/>
          <w:sz w:val="32"/>
          <w:szCs w:val="32"/>
          <w:highlight w:val="none"/>
          <w:u w:val="none"/>
          <w:lang w:val="en-US" w:eastAsia="zh-CN"/>
        </w:rPr>
        <w:t>”</w:t>
      </w:r>
      <w:r>
        <w:rPr>
          <w:rFonts w:hint="default" w:ascii="仿宋_GB2312" w:hAnsi="仿宋_GB2312" w:eastAsia="仿宋_GB2312" w:cs="仿宋_GB2312"/>
          <w:color w:val="auto"/>
          <w:sz w:val="32"/>
          <w:szCs w:val="32"/>
          <w:highlight w:val="none"/>
          <w:u w:val="none"/>
          <w:lang w:val="en-US" w:eastAsia="zh-CN"/>
        </w:rPr>
        <w:t>的</w:t>
      </w:r>
      <w:r>
        <w:rPr>
          <w:rFonts w:hint="eastAsia" w:ascii="仿宋_GB2312" w:hAnsi="仿宋_GB2312" w:eastAsia="仿宋_GB2312" w:cs="仿宋_GB2312"/>
          <w:color w:val="auto"/>
          <w:sz w:val="32"/>
          <w:szCs w:val="32"/>
          <w:highlight w:val="none"/>
          <w:u w:val="none"/>
          <w:lang w:val="en-US" w:eastAsia="zh-CN"/>
        </w:rPr>
        <w:t>金融风险防控处置工作格局。坚持打早打小，</w:t>
      </w:r>
      <w:bookmarkEnd w:id="2"/>
      <w:r>
        <w:rPr>
          <w:rFonts w:hint="eastAsia" w:ascii="仿宋_GB2312" w:hAnsi="仿宋_GB2312" w:eastAsia="仿宋_GB2312" w:cs="仿宋_GB2312"/>
          <w:color w:val="auto"/>
          <w:sz w:val="32"/>
          <w:szCs w:val="32"/>
          <w:highlight w:val="none"/>
          <w:u w:val="none"/>
          <w:lang w:val="en-US" w:eastAsia="zh-CN"/>
        </w:rPr>
        <w:t>维护金融领域安全稳定。</w:t>
      </w:r>
      <w:r>
        <w:rPr>
          <w:rFonts w:hint="eastAsia" w:ascii="楷体_GB2312" w:hAnsi="楷体_GB2312" w:eastAsia="楷体_GB2312" w:cs="楷体_GB2312"/>
          <w:snapToGrid w:val="0"/>
          <w:color w:val="auto"/>
          <w:spacing w:val="-4"/>
          <w:kern w:val="0"/>
          <w:sz w:val="32"/>
          <w:szCs w:val="32"/>
          <w:highlight w:val="none"/>
          <w:u w:val="none"/>
          <w:lang w:val="en-US" w:eastAsia="zh-CN"/>
        </w:rPr>
        <w:t>（市委金融办、市法院、市检察院、市公安局、市财政局、</w:t>
      </w:r>
      <w:r>
        <w:rPr>
          <w:rFonts w:hint="eastAsia" w:ascii="楷体_GB2312" w:hAnsi="楷体_GB2312" w:eastAsia="楷体_GB2312" w:cs="楷体_GB2312"/>
          <w:color w:val="auto"/>
          <w:spacing w:val="11"/>
          <w:sz w:val="32"/>
          <w:szCs w:val="32"/>
          <w:highlight w:val="none"/>
          <w:u w:val="none"/>
          <w:lang w:val="en-US" w:eastAsia="zh-CN"/>
        </w:rPr>
        <w:t>人民银行苏州市分行、苏州金融监管分局</w:t>
      </w:r>
      <w:r>
        <w:rPr>
          <w:rFonts w:hint="eastAsia" w:ascii="楷体_GB2312" w:hAnsi="楷体_GB2312" w:eastAsia="楷体_GB2312" w:cs="楷体_GB2312"/>
          <w:b w:val="0"/>
          <w:bCs w:val="0"/>
          <w:color w:val="auto"/>
          <w:sz w:val="32"/>
          <w:szCs w:val="32"/>
          <w:highlight w:val="none"/>
          <w:u w:val="none"/>
          <w:lang w:val="en-US" w:eastAsia="zh-CN"/>
        </w:rPr>
        <w:t>按职责分工负责</w:t>
      </w:r>
      <w:r>
        <w:rPr>
          <w:rFonts w:hint="eastAsia" w:ascii="楷体_GB2312" w:hAnsi="楷体_GB2312" w:eastAsia="楷体_GB2312" w:cs="楷体_GB2312"/>
          <w:snapToGrid w:val="0"/>
          <w:color w:val="auto"/>
          <w:spacing w:val="-4"/>
          <w:kern w:val="0"/>
          <w:sz w:val="32"/>
          <w:szCs w:val="32"/>
          <w:highlight w:val="none"/>
          <w:u w:val="none"/>
          <w:lang w:val="en-US" w:eastAsia="zh-CN"/>
        </w:rPr>
        <w:t>）</w:t>
      </w:r>
    </w:p>
    <w:p w14:paraId="40A2080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黑体" w:hAnsi="黑体" w:eastAsia="黑体" w:cs="黑体"/>
          <w:b w:val="0"/>
          <w:bCs w:val="0"/>
          <w:color w:val="auto"/>
          <w:sz w:val="32"/>
          <w:szCs w:val="32"/>
          <w:highlight w:val="none"/>
          <w:u w:val="none"/>
          <w:lang w:val="en-US" w:eastAsia="zh-CN"/>
        </w:rPr>
      </w:pPr>
      <w:r>
        <w:rPr>
          <w:rFonts w:hint="eastAsia" w:ascii="黑体" w:hAnsi="黑体" w:eastAsia="黑体" w:cs="黑体"/>
          <w:b w:val="0"/>
          <w:bCs w:val="0"/>
          <w:color w:val="auto"/>
          <w:sz w:val="32"/>
          <w:szCs w:val="32"/>
          <w:highlight w:val="none"/>
          <w:u w:val="none"/>
          <w:lang w:val="en-US" w:eastAsia="zh-CN"/>
        </w:rPr>
        <w:t>四、拓展金融服务供给，加大金融支持力度</w:t>
      </w:r>
    </w:p>
    <w:p w14:paraId="4F016382">
      <w:pPr>
        <w:pStyle w:val="2"/>
        <w:keepNext w:val="0"/>
        <w:keepLines w:val="0"/>
        <w:pageBreakBefore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color w:val="auto"/>
          <w:sz w:val="32"/>
          <w:szCs w:val="32"/>
          <w:highlight w:val="none"/>
          <w:u w:val="none"/>
          <w:lang w:val="en-US" w:eastAsia="zh-CN"/>
        </w:rPr>
      </w:pPr>
      <w:r>
        <w:rPr>
          <w:rFonts w:hint="eastAsia" w:ascii="楷体_GB2312" w:hAnsi="楷体_GB2312" w:eastAsia="楷体_GB2312" w:cs="楷体_GB2312"/>
          <w:b w:val="0"/>
          <w:bCs w:val="0"/>
          <w:color w:val="auto"/>
          <w:kern w:val="2"/>
          <w:sz w:val="32"/>
          <w:szCs w:val="32"/>
          <w:highlight w:val="none"/>
          <w:u w:val="none"/>
          <w:lang w:val="en-US" w:eastAsia="zh-CN" w:bidi="ar-SA"/>
        </w:rPr>
        <w:t>（十一）持续完善金融供给体系。</w:t>
      </w:r>
      <w:r>
        <w:rPr>
          <w:rFonts w:hint="eastAsia" w:ascii="仿宋_GB2312" w:hAnsi="仿宋_GB2312" w:eastAsia="仿宋_GB2312" w:cs="仿宋_GB2312"/>
          <w:color w:val="auto"/>
          <w:kern w:val="2"/>
          <w:sz w:val="32"/>
          <w:szCs w:val="32"/>
          <w:highlight w:val="none"/>
          <w:u w:val="none"/>
          <w:lang w:val="en-US" w:eastAsia="zh-CN" w:bidi="ar-SA"/>
        </w:rPr>
        <w:t>健全苏州企业金融服务超市体系，落实“三服务”工作要求，完善“苏企融”线上服务平台，发挥线下服务旗舰站、金融服务专窗、金融顾问团作用，做好企业的走访对接、金融政策解读、金融知识培训等服务。</w:t>
      </w:r>
      <w:r>
        <w:rPr>
          <w:rFonts w:hint="default" w:ascii="仿宋_GB2312" w:hAnsi="仿宋_GB2312" w:eastAsia="仿宋_GB2312" w:cs="仿宋_GB2312"/>
          <w:color w:val="auto"/>
          <w:kern w:val="2"/>
          <w:sz w:val="32"/>
          <w:szCs w:val="32"/>
          <w:highlight w:val="none"/>
          <w:u w:val="none"/>
          <w:lang w:val="en-US" w:eastAsia="zh-CN" w:bidi="ar-SA"/>
        </w:rPr>
        <w:t>推动在苏金融机构分支机构提升能级，争取</w:t>
      </w:r>
      <w:r>
        <w:rPr>
          <w:rFonts w:hint="eastAsia" w:ascii="仿宋_GB2312" w:hAnsi="仿宋_GB2312" w:eastAsia="仿宋_GB2312" w:cs="仿宋_GB2312"/>
          <w:color w:val="auto"/>
          <w:kern w:val="2"/>
          <w:sz w:val="32"/>
          <w:szCs w:val="32"/>
          <w:highlight w:val="none"/>
          <w:u w:val="none"/>
          <w:lang w:val="en-US" w:eastAsia="zh-CN" w:bidi="ar-SA"/>
        </w:rPr>
        <w:t>进出口银行</w:t>
      </w:r>
      <w:r>
        <w:rPr>
          <w:rFonts w:hint="default" w:ascii="仿宋_GB2312" w:hAnsi="仿宋_GB2312" w:eastAsia="仿宋_GB2312" w:cs="仿宋_GB2312"/>
          <w:color w:val="auto"/>
          <w:kern w:val="2"/>
          <w:sz w:val="32"/>
          <w:szCs w:val="32"/>
          <w:highlight w:val="none"/>
          <w:u w:val="none"/>
          <w:lang w:val="en-US" w:eastAsia="zh-CN" w:bidi="ar-SA"/>
        </w:rPr>
        <w:t>等在苏州设立分支机构，争取金融控股、理财子、保险资管等金融牌照。</w:t>
      </w:r>
      <w:r>
        <w:rPr>
          <w:rFonts w:hint="eastAsia" w:ascii="仿宋_GB2312" w:hAnsi="仿宋_GB2312" w:eastAsia="仿宋_GB2312" w:cs="仿宋_GB2312"/>
          <w:color w:val="auto"/>
          <w:kern w:val="2"/>
          <w:sz w:val="32"/>
          <w:szCs w:val="32"/>
          <w:highlight w:val="none"/>
          <w:u w:val="none"/>
          <w:lang w:val="en-US" w:eastAsia="zh-CN" w:bidi="ar-SA"/>
        </w:rPr>
        <w:t>深化上海与苏州金融领域合作，加快构建上海引领、苏州支撑的双向赋能金融协同发展格局。</w:t>
      </w:r>
      <w:r>
        <w:rPr>
          <w:rFonts w:hint="eastAsia" w:ascii="楷体_GB2312" w:hAnsi="楷体_GB2312" w:eastAsia="楷体_GB2312" w:cs="楷体_GB2312"/>
          <w:b w:val="0"/>
          <w:bCs w:val="0"/>
          <w:color w:val="auto"/>
          <w:sz w:val="32"/>
          <w:szCs w:val="32"/>
          <w:highlight w:val="none"/>
          <w:u w:val="none"/>
          <w:lang w:val="en-US" w:eastAsia="zh-CN"/>
        </w:rPr>
        <w:t>（市委金融办、市发改委、市财政局、</w:t>
      </w:r>
      <w:r>
        <w:rPr>
          <w:rFonts w:hint="eastAsia" w:ascii="楷体_GB2312" w:hAnsi="楷体_GB2312" w:eastAsia="楷体_GB2312" w:cs="楷体_GB2312"/>
          <w:color w:val="auto"/>
          <w:spacing w:val="11"/>
          <w:sz w:val="32"/>
          <w:szCs w:val="32"/>
          <w:highlight w:val="none"/>
          <w:u w:val="none"/>
          <w:lang w:val="en-US" w:eastAsia="zh-CN"/>
        </w:rPr>
        <w:t>人民银行苏州市分行、苏州金融监管分局</w:t>
      </w:r>
      <w:r>
        <w:rPr>
          <w:rFonts w:hint="eastAsia" w:ascii="楷体_GB2312" w:hAnsi="楷体_GB2312" w:eastAsia="楷体_GB2312" w:cs="楷体_GB2312"/>
          <w:b w:val="0"/>
          <w:bCs w:val="0"/>
          <w:color w:val="auto"/>
          <w:sz w:val="32"/>
          <w:szCs w:val="32"/>
          <w:highlight w:val="none"/>
          <w:u w:val="none"/>
          <w:lang w:val="en-US" w:eastAsia="zh-CN"/>
        </w:rPr>
        <w:t>按职责分工负责）</w:t>
      </w:r>
    </w:p>
    <w:p w14:paraId="348DD9D3">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仿宋_GB2312" w:hAnsi="仿宋_GB2312" w:eastAsia="仿宋_GB2312" w:cs="仿宋_GB2312"/>
          <w:color w:val="auto"/>
          <w:sz w:val="32"/>
          <w:szCs w:val="32"/>
          <w:highlight w:val="none"/>
          <w:u w:val="none"/>
          <w:lang w:val="en-US" w:eastAsia="zh-CN"/>
        </w:rPr>
      </w:pPr>
      <w:r>
        <w:rPr>
          <w:rFonts w:hint="eastAsia" w:ascii="楷体_GB2312" w:hAnsi="楷体_GB2312" w:eastAsia="楷体_GB2312" w:cs="楷体_GB2312"/>
          <w:b w:val="0"/>
          <w:bCs w:val="0"/>
          <w:color w:val="auto"/>
          <w:sz w:val="32"/>
          <w:szCs w:val="32"/>
          <w:highlight w:val="none"/>
          <w:u w:val="none"/>
          <w:lang w:val="en-US" w:eastAsia="zh-CN"/>
        </w:rPr>
        <w:t>（十二）积极拓展直接融资渠道。</w:t>
      </w:r>
      <w:r>
        <w:rPr>
          <w:rFonts w:hint="eastAsia" w:ascii="仿宋_GB2312" w:hAnsi="仿宋_GB2312" w:eastAsia="仿宋_GB2312" w:cs="仿宋_GB2312"/>
          <w:color w:val="auto"/>
          <w:sz w:val="32"/>
          <w:szCs w:val="32"/>
          <w:highlight w:val="none"/>
          <w:u w:val="none"/>
          <w:lang w:val="en-US" w:eastAsia="zh-CN"/>
        </w:rPr>
        <w:t>提升全市上市服务办工作效能，优化完善上市服务机制，支持企业利用资本市场融资发展。落实促进股权投资持续高质量发展的若干措施，发挥融资对接机制作用，加大对企业的股权融资支持。推动苏州市二手份额转让基金实质性运行，丰富基金多元化退出渠道。鼓励符合条件的科技企业通过债券市场“科技板”融资，落实省级科技创新债券贴息政策，推动科技创新债券扩面提质。落实险资入苏，推动更多REITs、ABS等项目上市发行，有效盘活存量资产。</w:t>
      </w:r>
      <w:r>
        <w:rPr>
          <w:rFonts w:hint="eastAsia" w:ascii="楷体_GB2312" w:hAnsi="楷体_GB2312" w:eastAsia="楷体_GB2312" w:cs="楷体_GB2312"/>
          <w:b w:val="0"/>
          <w:bCs w:val="0"/>
          <w:color w:val="auto"/>
          <w:sz w:val="32"/>
          <w:szCs w:val="32"/>
          <w:highlight w:val="none"/>
          <w:u w:val="none"/>
          <w:lang w:val="en-US" w:eastAsia="zh-CN"/>
        </w:rPr>
        <w:t>（市委金融办、市发改委、市科技局、市财政局、市国资委、</w:t>
      </w:r>
      <w:r>
        <w:rPr>
          <w:rFonts w:hint="eastAsia" w:ascii="楷体_GB2312" w:hAnsi="楷体_GB2312" w:eastAsia="楷体_GB2312" w:cs="楷体_GB2312"/>
          <w:color w:val="auto"/>
          <w:spacing w:val="11"/>
          <w:sz w:val="32"/>
          <w:szCs w:val="32"/>
          <w:highlight w:val="none"/>
          <w:u w:val="none"/>
          <w:lang w:val="en-US" w:eastAsia="zh-CN"/>
        </w:rPr>
        <w:t>人民银行苏州市分行、苏州金融监管分局</w:t>
      </w:r>
      <w:r>
        <w:rPr>
          <w:rFonts w:hint="eastAsia" w:ascii="楷体_GB2312" w:hAnsi="楷体_GB2312" w:eastAsia="楷体_GB2312" w:cs="楷体_GB2312"/>
          <w:b w:val="0"/>
          <w:bCs w:val="0"/>
          <w:color w:val="auto"/>
          <w:sz w:val="32"/>
          <w:szCs w:val="32"/>
          <w:highlight w:val="none"/>
          <w:u w:val="none"/>
          <w:lang w:val="en-US" w:eastAsia="zh-CN"/>
        </w:rPr>
        <w:t>按职责分工负责）</w:t>
      </w:r>
    </w:p>
    <w:p w14:paraId="5BD06841">
      <w:pPr>
        <w:keepNext w:val="0"/>
        <w:keepLines w:val="0"/>
        <w:pageBreakBefore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b/>
          <w:bCs/>
          <w:color w:val="auto"/>
          <w:sz w:val="32"/>
          <w:szCs w:val="32"/>
          <w:highlight w:val="none"/>
          <w:u w:val="none"/>
          <w:lang w:val="en-US" w:eastAsia="zh-CN"/>
        </w:rPr>
      </w:pPr>
      <w:r>
        <w:rPr>
          <w:rFonts w:hint="eastAsia" w:ascii="楷体_GB2312" w:hAnsi="楷体_GB2312" w:eastAsia="楷体_GB2312" w:cs="楷体_GB2312"/>
          <w:b w:val="0"/>
          <w:bCs w:val="0"/>
          <w:color w:val="auto"/>
          <w:sz w:val="32"/>
          <w:szCs w:val="32"/>
          <w:highlight w:val="none"/>
          <w:u w:val="none"/>
          <w:lang w:val="en-US" w:eastAsia="zh-CN"/>
        </w:rPr>
        <w:t>（十三）加强重点领域金融支持。</w:t>
      </w:r>
      <w:r>
        <w:rPr>
          <w:rFonts w:hint="eastAsia" w:ascii="仿宋_GB2312" w:hAnsi="仿宋_GB2312" w:eastAsia="仿宋_GB2312" w:cs="仿宋_GB2312"/>
          <w:color w:val="auto"/>
          <w:sz w:val="32"/>
          <w:szCs w:val="32"/>
          <w:highlight w:val="none"/>
          <w:u w:val="none"/>
          <w:lang w:val="en-US" w:eastAsia="zh-CN"/>
        </w:rPr>
        <w:t>加强科技金融支持，强化“科创指数”评价体系运用，打造“股贷债保担”联动的科创金融生态。完善普惠金融服务，</w:t>
      </w:r>
      <w:r>
        <w:rPr>
          <w:rFonts w:hint="default" w:ascii="仿宋_GB2312" w:hAnsi="仿宋_GB2312" w:eastAsia="仿宋_GB2312" w:cs="仿宋_GB2312"/>
          <w:color w:val="auto"/>
          <w:sz w:val="32"/>
          <w:szCs w:val="32"/>
          <w:highlight w:val="none"/>
          <w:u w:val="none"/>
          <w:lang w:val="en-US" w:eastAsia="zh-CN"/>
        </w:rPr>
        <w:t>深化“四贷联动”机制，</w:t>
      </w:r>
      <w:r>
        <w:rPr>
          <w:rFonts w:hint="eastAsia" w:ascii="仿宋_GB2312" w:hAnsi="仿宋_GB2312" w:eastAsia="仿宋_GB2312" w:cs="仿宋_GB2312"/>
          <w:color w:val="auto"/>
          <w:sz w:val="32"/>
          <w:szCs w:val="32"/>
          <w:highlight w:val="none"/>
          <w:u w:val="none"/>
          <w:lang w:val="en-US" w:eastAsia="zh-CN"/>
        </w:rPr>
        <w:t>督促地方金融组织坚守“金融毛细血管”定位，提升金融服务能力。提升支持企业“走出去”的金融服务，建设香港-苏州海外综合服务站。促进科技赋能金融发展，鼓励金融机构运用人工智能、大数据等技术开发智能投顾、智能客服、自动化合规监测等创新服务模式，支持相关金融国企牵头探索量子加密、人工智能等新技术在金融领域的应用。</w:t>
      </w:r>
      <w:r>
        <w:rPr>
          <w:rFonts w:hint="eastAsia" w:ascii="楷体_GB2312" w:hAnsi="楷体_GB2312" w:eastAsia="楷体_GB2312" w:cs="楷体_GB2312"/>
          <w:b w:val="0"/>
          <w:bCs w:val="0"/>
          <w:color w:val="auto"/>
          <w:sz w:val="32"/>
          <w:szCs w:val="32"/>
          <w:highlight w:val="none"/>
          <w:u w:val="none"/>
          <w:lang w:val="en-US" w:eastAsia="zh-CN"/>
        </w:rPr>
        <w:t>（市委金融办、市发改委、市科技局、市财政局、市商务局、市数据局、人民银</w:t>
      </w:r>
      <w:r>
        <w:rPr>
          <w:rFonts w:hint="eastAsia" w:ascii="楷体_GB2312" w:hAnsi="楷体_GB2312" w:eastAsia="楷体_GB2312" w:cs="楷体_GB2312"/>
          <w:color w:val="auto"/>
          <w:spacing w:val="11"/>
          <w:sz w:val="32"/>
          <w:szCs w:val="32"/>
          <w:highlight w:val="none"/>
          <w:u w:val="none"/>
          <w:lang w:val="en-US" w:eastAsia="zh-CN"/>
        </w:rPr>
        <w:t>行苏州市分行、苏州金融监管分局</w:t>
      </w:r>
      <w:r>
        <w:rPr>
          <w:rFonts w:hint="eastAsia" w:ascii="楷体_GB2312" w:hAnsi="楷体_GB2312" w:eastAsia="楷体_GB2312" w:cs="楷体_GB2312"/>
          <w:b w:val="0"/>
          <w:bCs w:val="0"/>
          <w:color w:val="auto"/>
          <w:sz w:val="32"/>
          <w:szCs w:val="32"/>
          <w:highlight w:val="none"/>
          <w:u w:val="none"/>
          <w:lang w:val="en-US" w:eastAsia="zh-CN"/>
        </w:rPr>
        <w:t>按职责分工负责）</w:t>
      </w:r>
    </w:p>
    <w:p w14:paraId="62F3FEE0">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highlight w:val="none"/>
          <w:u w:val="none"/>
          <w:lang w:val="en-US" w:eastAsia="zh-CN"/>
        </w:rPr>
      </w:pPr>
      <w:r>
        <w:rPr>
          <w:rFonts w:hint="eastAsia" w:ascii="楷体_GB2312" w:hAnsi="楷体_GB2312" w:eastAsia="楷体_GB2312" w:cs="楷体_GB2312"/>
          <w:b w:val="0"/>
          <w:bCs w:val="0"/>
          <w:color w:val="auto"/>
          <w:sz w:val="32"/>
          <w:szCs w:val="32"/>
          <w:highlight w:val="none"/>
          <w:u w:val="none"/>
          <w:lang w:val="en-US" w:eastAsia="zh-CN"/>
        </w:rPr>
        <w:t>（十四）推进金融创新试点落地见效。</w:t>
      </w:r>
      <w:r>
        <w:rPr>
          <w:rFonts w:hint="default" w:ascii="仿宋_GB2312" w:hAnsi="仿宋_GB2312" w:eastAsia="仿宋_GB2312" w:cs="仿宋_GB2312"/>
          <w:color w:val="auto"/>
          <w:sz w:val="32"/>
          <w:szCs w:val="32"/>
          <w:highlight w:val="none"/>
          <w:u w:val="none"/>
          <w:lang w:val="en-US" w:eastAsia="zh-CN"/>
        </w:rPr>
        <w:t>落实苏州科技金融国际合作发展区政策及配套举措，</w:t>
      </w:r>
      <w:r>
        <w:rPr>
          <w:rFonts w:hint="eastAsia" w:ascii="仿宋_GB2312" w:hAnsi="仿宋_GB2312" w:eastAsia="仿宋_GB2312" w:cs="仿宋_GB2312"/>
          <w:color w:val="auto"/>
          <w:sz w:val="32"/>
          <w:szCs w:val="32"/>
          <w:highlight w:val="none"/>
          <w:u w:val="none"/>
          <w:lang w:val="en-US" w:eastAsia="zh-CN"/>
        </w:rPr>
        <w:t>深化AIC股权投资试点和科技企业并购贷款试点，</w:t>
      </w:r>
      <w:r>
        <w:rPr>
          <w:rFonts w:hint="default" w:ascii="仿宋_GB2312" w:hAnsi="仿宋_GB2312" w:eastAsia="仿宋_GB2312" w:cs="仿宋_GB2312"/>
          <w:color w:val="auto"/>
          <w:sz w:val="32"/>
          <w:szCs w:val="32"/>
          <w:highlight w:val="none"/>
          <w:u w:val="none"/>
          <w:lang w:val="en-US" w:eastAsia="zh-CN"/>
        </w:rPr>
        <w:t>加强科技金融产品、服务模式等领域的创新。</w:t>
      </w:r>
      <w:r>
        <w:rPr>
          <w:rFonts w:hint="eastAsia" w:ascii="仿宋_GB2312" w:hAnsi="仿宋_GB2312" w:eastAsia="仿宋_GB2312" w:cs="仿宋_GB2312"/>
          <w:color w:val="auto"/>
          <w:sz w:val="32"/>
          <w:szCs w:val="32"/>
          <w:highlight w:val="none"/>
          <w:u w:val="none"/>
          <w:lang w:val="en-US" w:eastAsia="zh-CN"/>
        </w:rPr>
        <w:t>推进知识产权金融实验室建设，开展知识产权国际结算试点，探索知识产权服务信托、涉外知识产权保险。深化数字人民币应用创新，推动数字人民币在供应链金融、普惠信贷、工资代发、资金监管等场景落地。持续推动跨境融资便利化、绿色外债试点等存量政策惠及更多企业，用好QFLP叠加QDLP双向跨境试点政策，引导符合条件的大型外资企业、民营企业集团等用好跨国公司本外币一体化资金池政策。</w:t>
      </w:r>
      <w:r>
        <w:rPr>
          <w:rFonts w:hint="eastAsia" w:ascii="楷体_GB2312" w:hAnsi="楷体_GB2312" w:eastAsia="楷体_GB2312" w:cs="楷体_GB2312"/>
          <w:b w:val="0"/>
          <w:bCs w:val="0"/>
          <w:color w:val="auto"/>
          <w:sz w:val="32"/>
          <w:szCs w:val="32"/>
          <w:highlight w:val="none"/>
          <w:u w:val="none"/>
          <w:lang w:val="en-US" w:eastAsia="zh-CN"/>
        </w:rPr>
        <w:t>（市委金融办、市科技局、市商务局、市市场监管局、</w:t>
      </w:r>
      <w:r>
        <w:rPr>
          <w:rFonts w:hint="eastAsia" w:ascii="楷体_GB2312" w:hAnsi="楷体_GB2312" w:eastAsia="楷体_GB2312" w:cs="楷体_GB2312"/>
          <w:color w:val="auto"/>
          <w:spacing w:val="11"/>
          <w:sz w:val="32"/>
          <w:szCs w:val="32"/>
          <w:highlight w:val="none"/>
          <w:u w:val="none"/>
          <w:lang w:val="en-US" w:eastAsia="zh-CN"/>
        </w:rPr>
        <w:t>人民银行苏州市分行、苏州金融监管分局</w:t>
      </w:r>
      <w:r>
        <w:rPr>
          <w:rFonts w:hint="eastAsia" w:ascii="楷体_GB2312" w:hAnsi="楷体_GB2312" w:eastAsia="楷体_GB2312" w:cs="楷体_GB2312"/>
          <w:b w:val="0"/>
          <w:bCs w:val="0"/>
          <w:color w:val="auto"/>
          <w:sz w:val="32"/>
          <w:szCs w:val="32"/>
          <w:highlight w:val="none"/>
          <w:u w:val="none"/>
          <w:lang w:val="en-US" w:eastAsia="zh-CN"/>
        </w:rPr>
        <w:t>按职责分工负责）</w:t>
      </w:r>
    </w:p>
    <w:p w14:paraId="4159F6C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黑体" w:hAnsi="黑体" w:eastAsia="黑体" w:cs="黑体"/>
          <w:b w:val="0"/>
          <w:bCs w:val="0"/>
          <w:color w:val="auto"/>
          <w:sz w:val="32"/>
          <w:szCs w:val="32"/>
          <w:highlight w:val="none"/>
          <w:u w:val="none"/>
          <w:lang w:val="en-US" w:eastAsia="zh-CN"/>
        </w:rPr>
      </w:pPr>
      <w:r>
        <w:rPr>
          <w:rFonts w:hint="eastAsia" w:ascii="黑体" w:hAnsi="黑体" w:eastAsia="黑体" w:cs="黑体"/>
          <w:b w:val="0"/>
          <w:bCs w:val="0"/>
          <w:color w:val="auto"/>
          <w:sz w:val="32"/>
          <w:szCs w:val="32"/>
          <w:highlight w:val="none"/>
          <w:u w:val="none"/>
          <w:lang w:val="en-US" w:eastAsia="zh-CN"/>
        </w:rPr>
        <w:t>五、强化党建引领，做好政策服务保障</w:t>
      </w:r>
    </w:p>
    <w:p w14:paraId="50D813A3">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eastAsia="仿宋_GB2312" w:cs="Times New Roman"/>
          <w:color w:val="auto"/>
          <w:kern w:val="2"/>
          <w:sz w:val="32"/>
          <w:szCs w:val="32"/>
          <w:highlight w:val="none"/>
          <w:u w:val="none"/>
          <w:lang w:val="en-US" w:eastAsia="zh-CN" w:bidi="ar-SA"/>
        </w:rPr>
      </w:pPr>
      <w:r>
        <w:rPr>
          <w:rFonts w:hint="eastAsia" w:ascii="楷体_GB2312" w:hAnsi="楷体_GB2312" w:eastAsia="楷体_GB2312" w:cs="楷体_GB2312"/>
          <w:b w:val="0"/>
          <w:bCs w:val="0"/>
          <w:color w:val="auto"/>
          <w:sz w:val="32"/>
          <w:szCs w:val="32"/>
          <w:highlight w:val="none"/>
          <w:u w:val="none"/>
          <w:lang w:val="en-US" w:eastAsia="zh-CN"/>
        </w:rPr>
        <w:t>（十五）强化财政金融协同保障。</w:t>
      </w:r>
      <w:r>
        <w:rPr>
          <w:rFonts w:hint="eastAsia" w:ascii="仿宋_GB2312" w:hAnsi="仿宋_GB2312" w:eastAsia="仿宋_GB2312" w:cs="仿宋_GB2312"/>
          <w:color w:val="auto"/>
          <w:sz w:val="32"/>
          <w:szCs w:val="32"/>
          <w:highlight w:val="none"/>
          <w:u w:val="none"/>
          <w:lang w:val="en-US" w:eastAsia="zh-CN"/>
        </w:rPr>
        <w:t>落实国家、省财政金融协同相关政策，完善我市风险分担增信体系。鼓励政府性融资担保扩容增效，支持融资担保公司集团化发展。落实普惠和科技金融领域贴息、贴费等财政奖补政策，优化政策资金配置，充分发挥财政杠杆作用。统筹用好市级普惠金融风险补偿资金，配合</w:t>
      </w:r>
      <w:r>
        <w:rPr>
          <w:rFonts w:hint="default" w:ascii="仿宋_GB2312" w:hAnsi="仿宋_GB2312" w:eastAsia="仿宋_GB2312" w:cs="仿宋_GB2312"/>
          <w:color w:val="auto"/>
          <w:sz w:val="32"/>
          <w:szCs w:val="32"/>
          <w:highlight w:val="none"/>
          <w:u w:val="none"/>
          <w:lang w:val="en-US" w:eastAsia="zh-CN"/>
        </w:rPr>
        <w:t>相关部门单位推动实施</w:t>
      </w:r>
      <w:r>
        <w:rPr>
          <w:rFonts w:hint="eastAsia" w:ascii="仿宋_GB2312" w:hAnsi="仿宋_GB2312" w:eastAsia="仿宋_GB2312" w:cs="仿宋_GB2312"/>
          <w:color w:val="auto"/>
          <w:sz w:val="32"/>
          <w:szCs w:val="32"/>
          <w:highlight w:val="none"/>
          <w:u w:val="none"/>
          <w:lang w:val="en-US" w:eastAsia="zh-CN"/>
        </w:rPr>
        <w:t>“</w:t>
      </w:r>
      <w:r>
        <w:rPr>
          <w:rFonts w:hint="default" w:ascii="仿宋_GB2312" w:hAnsi="仿宋_GB2312" w:eastAsia="仿宋_GB2312" w:cs="仿宋_GB2312"/>
          <w:color w:val="auto"/>
          <w:sz w:val="32"/>
          <w:szCs w:val="32"/>
          <w:highlight w:val="none"/>
          <w:u w:val="none"/>
          <w:lang w:val="en-US" w:eastAsia="zh-CN"/>
        </w:rPr>
        <w:t>信保贷</w:t>
      </w:r>
      <w:r>
        <w:rPr>
          <w:rFonts w:hint="eastAsia" w:ascii="仿宋_GB2312" w:hAnsi="仿宋_GB2312" w:eastAsia="仿宋_GB2312" w:cs="仿宋_GB2312"/>
          <w:color w:val="auto"/>
          <w:sz w:val="32"/>
          <w:szCs w:val="32"/>
          <w:highlight w:val="none"/>
          <w:u w:val="none"/>
          <w:lang w:val="en-US" w:eastAsia="zh-CN"/>
        </w:rPr>
        <w:t>”“</w:t>
      </w:r>
      <w:r>
        <w:rPr>
          <w:rFonts w:hint="default" w:ascii="仿宋_GB2312" w:hAnsi="仿宋_GB2312" w:eastAsia="仿宋_GB2312" w:cs="仿宋_GB2312"/>
          <w:color w:val="auto"/>
          <w:sz w:val="32"/>
          <w:szCs w:val="32"/>
          <w:highlight w:val="none"/>
          <w:u w:val="none"/>
          <w:lang w:val="en-US" w:eastAsia="zh-CN"/>
        </w:rPr>
        <w:t>科贷通</w:t>
      </w:r>
      <w:r>
        <w:rPr>
          <w:rFonts w:hint="eastAsia" w:ascii="仿宋_GB2312" w:hAnsi="仿宋_GB2312" w:eastAsia="仿宋_GB2312" w:cs="仿宋_GB2312"/>
          <w:color w:val="auto"/>
          <w:sz w:val="32"/>
          <w:szCs w:val="32"/>
          <w:highlight w:val="none"/>
          <w:u w:val="none"/>
          <w:lang w:val="en-US" w:eastAsia="zh-CN"/>
        </w:rPr>
        <w:t>”</w:t>
      </w:r>
      <w:r>
        <w:rPr>
          <w:rFonts w:hint="default" w:ascii="仿宋_GB2312" w:hAnsi="仿宋_GB2312" w:eastAsia="仿宋_GB2312" w:cs="仿宋_GB2312"/>
          <w:color w:val="auto"/>
          <w:sz w:val="32"/>
          <w:szCs w:val="32"/>
          <w:highlight w:val="none"/>
          <w:u w:val="none"/>
          <w:lang w:val="en-US" w:eastAsia="zh-CN"/>
        </w:rPr>
        <w:t>新政</w:t>
      </w:r>
      <w:r>
        <w:rPr>
          <w:rFonts w:hint="eastAsia" w:ascii="仿宋_GB2312" w:hAnsi="仿宋_GB2312" w:eastAsia="仿宋_GB2312" w:cs="仿宋_GB2312"/>
          <w:color w:val="auto"/>
          <w:sz w:val="32"/>
          <w:szCs w:val="32"/>
          <w:highlight w:val="none"/>
          <w:u w:val="none"/>
          <w:lang w:val="en-US" w:eastAsia="zh-CN"/>
        </w:rPr>
        <w:t>。组织开展金融人才培训，选优配强金融队伍，加强地方金融管理部门力量。做好“金融生态县”自评推荐，推动各县级市（区）营造良好金融生态。</w:t>
      </w:r>
      <w:r>
        <w:rPr>
          <w:rFonts w:hint="eastAsia" w:ascii="楷体_GB2312" w:hAnsi="楷体_GB2312" w:eastAsia="楷体_GB2312" w:cs="楷体_GB2312"/>
          <w:color w:val="auto"/>
          <w:kern w:val="2"/>
          <w:sz w:val="32"/>
          <w:szCs w:val="32"/>
          <w:highlight w:val="none"/>
          <w:u w:val="none"/>
          <w:lang w:val="en-US" w:eastAsia="zh-CN" w:bidi="ar-SA"/>
        </w:rPr>
        <w:t>（市委金融办、市科技局、市财政局、</w:t>
      </w:r>
      <w:r>
        <w:rPr>
          <w:rFonts w:hint="eastAsia" w:ascii="楷体_GB2312" w:hAnsi="楷体_GB2312" w:eastAsia="楷体_GB2312" w:cs="楷体_GB2312"/>
          <w:color w:val="auto"/>
          <w:spacing w:val="11"/>
          <w:sz w:val="32"/>
          <w:szCs w:val="32"/>
          <w:highlight w:val="none"/>
          <w:u w:val="none"/>
          <w:lang w:val="en-US" w:eastAsia="zh-CN"/>
        </w:rPr>
        <w:t>人民银行苏州市分行</w:t>
      </w:r>
      <w:r>
        <w:rPr>
          <w:rFonts w:hint="eastAsia" w:ascii="楷体_GB2312" w:hAnsi="楷体_GB2312" w:eastAsia="楷体_GB2312" w:cs="楷体_GB2312"/>
          <w:b w:val="0"/>
          <w:bCs w:val="0"/>
          <w:color w:val="auto"/>
          <w:sz w:val="32"/>
          <w:szCs w:val="32"/>
          <w:highlight w:val="none"/>
          <w:u w:val="none"/>
          <w:lang w:val="en-US" w:eastAsia="zh-CN"/>
        </w:rPr>
        <w:t>按职责分工负责</w:t>
      </w:r>
      <w:r>
        <w:rPr>
          <w:rFonts w:hint="eastAsia" w:ascii="楷体_GB2312" w:hAnsi="楷体_GB2312" w:eastAsia="楷体_GB2312" w:cs="楷体_GB2312"/>
          <w:color w:val="auto"/>
          <w:kern w:val="2"/>
          <w:sz w:val="32"/>
          <w:szCs w:val="32"/>
          <w:highlight w:val="none"/>
          <w:u w:val="none"/>
          <w:lang w:val="en-US" w:eastAsia="zh-CN" w:bidi="ar-SA"/>
        </w:rPr>
        <w:t>）</w:t>
      </w:r>
    </w:p>
    <w:p w14:paraId="4E985102">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50" w:eastAsia="方正小标宋简体"/>
          <w:snapToGrid w:val="0"/>
          <w:color w:val="auto"/>
          <w:spacing w:val="-8"/>
          <w:w w:val="62"/>
          <w:sz w:val="32"/>
          <w:szCs w:val="32"/>
          <w:highlight w:val="none"/>
          <w:lang w:val="en-US" w:eastAsia="zh-CN"/>
        </w:rPr>
      </w:pPr>
      <w:r>
        <w:rPr>
          <w:rFonts w:hint="eastAsia" w:ascii="楷体_GB2312" w:hAnsi="楷体_GB2312" w:eastAsia="楷体_GB2312" w:cs="楷体_GB2312"/>
          <w:b w:val="0"/>
          <w:bCs w:val="0"/>
          <w:color w:val="auto"/>
          <w:sz w:val="32"/>
          <w:szCs w:val="32"/>
          <w:highlight w:val="none"/>
          <w:u w:val="none"/>
          <w:lang w:val="en-US" w:eastAsia="zh-CN"/>
        </w:rPr>
        <w:t>（十六）坚持和加强党的全面领导。</w:t>
      </w:r>
      <w:r>
        <w:rPr>
          <w:rFonts w:hint="eastAsia" w:ascii="仿宋_GB2312" w:hAnsi="仿宋_GB2312" w:eastAsia="仿宋_GB2312" w:cs="仿宋_GB2312"/>
          <w:color w:val="auto"/>
          <w:sz w:val="32"/>
          <w:szCs w:val="32"/>
          <w:highlight w:val="none"/>
          <w:u w:val="none"/>
          <w:lang w:val="en-US" w:eastAsia="zh-CN"/>
        </w:rPr>
        <w:t>深入贯彻加强金融系统党的建设决策部署，在市“十五五”金融发展规划中明确金融生态环境建设要求。推动金融企业党的领导与公司治理、经营发展深度融合，督促树立正确经营观、业绩观和风险观。对落实决策部署不力等失职失责，造成重大损失、严重后果或恶劣影响的，依规依法严肃问责。扎实抓好中国特色金融文化学习、宣传、阐释、实践等活动，多措并举讲好苏州金融故事。</w:t>
      </w:r>
      <w:r>
        <w:rPr>
          <w:rFonts w:hint="eastAsia" w:ascii="楷体_GB2312" w:hAnsi="楷体_GB2312" w:eastAsia="楷体_GB2312" w:cs="楷体_GB2312"/>
          <w:color w:val="auto"/>
          <w:sz w:val="32"/>
          <w:szCs w:val="32"/>
          <w:highlight w:val="none"/>
          <w:u w:val="none"/>
          <w:lang w:val="en-US" w:eastAsia="zh-CN"/>
        </w:rPr>
        <w:t>（</w:t>
      </w:r>
      <w:r>
        <w:rPr>
          <w:rFonts w:hint="eastAsia" w:ascii="楷体_GB2312" w:hAnsi="楷体_GB2312" w:eastAsia="楷体_GB2312" w:cs="楷体_GB2312"/>
          <w:b w:val="0"/>
          <w:bCs w:val="0"/>
          <w:color w:val="auto"/>
          <w:sz w:val="32"/>
          <w:szCs w:val="32"/>
          <w:highlight w:val="none"/>
          <w:u w:val="none"/>
          <w:lang w:val="en-US" w:eastAsia="zh-CN"/>
        </w:rPr>
        <w:t>市委金融办、市财政局、市国资委、</w:t>
      </w:r>
      <w:r>
        <w:rPr>
          <w:rFonts w:hint="eastAsia" w:ascii="楷体_GB2312" w:hAnsi="楷体_GB2312" w:eastAsia="楷体_GB2312" w:cs="楷体_GB2312"/>
          <w:color w:val="auto"/>
          <w:spacing w:val="11"/>
          <w:sz w:val="32"/>
          <w:szCs w:val="32"/>
          <w:highlight w:val="none"/>
          <w:u w:val="none"/>
          <w:lang w:val="en-US" w:eastAsia="zh-CN"/>
        </w:rPr>
        <w:t>人民银行苏州市分行、苏州金融监管分局</w:t>
      </w:r>
      <w:r>
        <w:rPr>
          <w:rFonts w:hint="eastAsia" w:ascii="楷体_GB2312" w:hAnsi="楷体_GB2312" w:eastAsia="楷体_GB2312" w:cs="楷体_GB2312"/>
          <w:b w:val="0"/>
          <w:bCs w:val="0"/>
          <w:color w:val="auto"/>
          <w:sz w:val="32"/>
          <w:szCs w:val="32"/>
          <w:highlight w:val="none"/>
          <w:u w:val="none"/>
          <w:lang w:val="en-US" w:eastAsia="zh-CN"/>
        </w:rPr>
        <w:t>按职责分工负责）</w:t>
      </w:r>
      <w:bookmarkEnd w:id="0"/>
      <w:bookmarkEnd w:id="1"/>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DE78190-ABAA-4BB2-9513-4E480C87C80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方正小标宋_GBK">
    <w:panose1 w:val="02000000000000000000"/>
    <w:charset w:val="86"/>
    <w:family w:val="script"/>
    <w:pitch w:val="default"/>
    <w:sig w:usb0="A00002BF" w:usb1="38CF7CFA" w:usb2="00082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2" w:fontKey="{41F20D2D-94E5-459F-9D22-55933E1122D4}"/>
  </w:font>
  <w:font w:name="华文楷体">
    <w:altName w:val="Times New Roman"/>
    <w:panose1 w:val="02020603050005020304"/>
    <w:charset w:val="00"/>
    <w:family w:val="roman"/>
    <w:pitch w:val="default"/>
    <w:sig w:usb0="00000000" w:usb1="00000000" w:usb2="00000008" w:usb3="00000000" w:csb0="000001FF" w:csb1="00000000"/>
    <w:embedRegular r:id="rId3" w:fontKey="{80203002-CD52-439F-B8FE-4724A77B6327}"/>
  </w:font>
  <w:font w:name="仿宋_GB2312">
    <w:panose1 w:val="02010609030101010101"/>
    <w:charset w:val="86"/>
    <w:family w:val="modern"/>
    <w:pitch w:val="default"/>
    <w:sig w:usb0="00000001" w:usb1="080E0000" w:usb2="00000000" w:usb3="00000000" w:csb0="00040000" w:csb1="00000000"/>
    <w:embedRegular r:id="rId4" w:fontKey="{E0237B44-0256-4E46-9E73-123615DC2E2F}"/>
  </w:font>
  <w:font w:name="楷体_GB2312">
    <w:panose1 w:val="02010609030101010101"/>
    <w:charset w:val="86"/>
    <w:family w:val="modern"/>
    <w:pitch w:val="default"/>
    <w:sig w:usb0="00000001" w:usb1="080E0000" w:usb2="00000000" w:usb3="00000000" w:csb0="00040000" w:csb1="00000000"/>
    <w:embedRegular r:id="rId5" w:fontKey="{7EC27E7F-29B5-46F0-8D72-44A2E13B057E}"/>
  </w:font>
  <w:font w:name="方正楷体_GB2312">
    <w:panose1 w:val="02000000000000000000"/>
    <w:charset w:val="86"/>
    <w:family w:val="auto"/>
    <w:pitch w:val="default"/>
    <w:sig w:usb0="A00002BF" w:usb1="184F6CFA" w:usb2="00000012" w:usb3="00000000" w:csb0="00040001" w:csb1="00000000"/>
    <w:embedRegular r:id="rId6" w:fontKey="{A9497ECF-5B42-4E3C-B307-5900D05361AD}"/>
  </w:font>
  <w:font w:name="50">
    <w:altName w:val="Noto Sans SC"/>
    <w:panose1 w:val="00000000000000000000"/>
    <w:charset w:val="00"/>
    <w:family w:val="roman"/>
    <w:pitch w:val="default"/>
    <w:sig w:usb0="00000000" w:usb1="00000000" w:usb2="00000000" w:usb3="00000000" w:csb0="00040001" w:csb1="00000000"/>
    <w:embedRegular r:id="rId7" w:fontKey="{82F5E34F-1AB6-442F-8943-D4AEC7D90385}"/>
  </w:font>
  <w:font w:name="Noto Sans SC">
    <w:panose1 w:val="020B0200000000000000"/>
    <w:charset w:val="86"/>
    <w:family w:val="auto"/>
    <w:pitch w:val="default"/>
    <w:sig w:usb0="2000008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C4239">
    <w:pPr>
      <w:pStyle w:val="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-66675</wp:posOffset>
              </wp:positionV>
              <wp:extent cx="492760" cy="375285"/>
              <wp:effectExtent l="0" t="0" r="0" b="0"/>
              <wp:wrapNone/>
              <wp:docPr id="6" name="文本框 6"/>
              <wp:cNvGraphicFramePr/>
              <a:graphic xmlns:a="http://schemas.openxmlformats.org/drawingml/2006/main">
                <a:graphicData uri="http://schemas.microsoft.com/office/word/2010/wordprocessingShape">
                  <wps:wsp>
                    <wps:cNvSpPr txBox="1"/>
                    <wps:spPr>
                      <a:xfrm>
                        <a:off x="0" y="0"/>
                        <a:ext cx="492760" cy="3752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sz w:val="28"/>
                              <w:szCs w:val="28"/>
                            </w:rPr>
                            <w:id w:val="147467431"/>
                          </w:sdtPr>
                          <w:sdtEndPr>
                            <w:rPr>
                              <w:sz w:val="28"/>
                              <w:szCs w:val="28"/>
                            </w:rPr>
                          </w:sdtEndPr>
                          <w:sdtContent>
                            <w:p w14:paraId="1AE4B652">
                              <w:pPr>
                                <w:pStyle w:val="8"/>
                                <w:jc w:val="center"/>
                              </w:pP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PAGE   \* MERGEFORMAT</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zh-CN"/>
                                </w:rPr>
                                <w:t>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lang w:val="en-US" w:eastAsia="zh-CN"/>
                                </w:rPr>
                                <w:t>-</w:t>
                              </w:r>
                            </w:p>
                          </w:sdtContent>
                        </w:sdt>
                        <w:p w14:paraId="39FCC3F9"/>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5.25pt;height:29.55pt;width:38.8pt;mso-position-horizontal:outside;mso-position-horizontal-relative:margin;z-index:251659264;mso-width-relative:page;mso-height-relative:page;" filled="f" stroked="f" coordsize="21600,21600" o:gfxdata="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L1uyh1gAAAAYBAAAPAAAAAAAAAAEAIAAAACIAAABkcnMvZG93bnJl&#10;di54bWxQSwECFAAUAAAACACHTuJAnM1OwzgCAABhBAAADgAAAAAAAAABACAAAAAlAQAAZHJzL2Uy&#10;b0RvYy54bWxQSwUGAAAAAAYABgBZAQAAzwUAAAAA&#10;">
              <v:fill on="f" focussize="0,0"/>
              <v:stroke on="f" weight="0.5pt"/>
              <v:imagedata o:title=""/>
              <o:lock v:ext="edit" aspectratio="f"/>
              <v:textbox inset="0mm,0mm,0mm,0mm">
                <w:txbxContent>
                  <w:sdt>
                    <w:sdtPr>
                      <w:rPr>
                        <w:sz w:val="28"/>
                        <w:szCs w:val="28"/>
                      </w:rPr>
                      <w:id w:val="147467431"/>
                    </w:sdtPr>
                    <w:sdtEndPr>
                      <w:rPr>
                        <w:sz w:val="28"/>
                        <w:szCs w:val="28"/>
                      </w:rPr>
                    </w:sdtEndPr>
                    <w:sdtContent>
                      <w:p w14:paraId="1AE4B652">
                        <w:pPr>
                          <w:pStyle w:val="8"/>
                          <w:jc w:val="center"/>
                        </w:pP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PAGE   \* MERGEFORMAT</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zh-CN"/>
                          </w:rPr>
                          <w:t>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lang w:val="en-US" w:eastAsia="zh-CN"/>
                          </w:rPr>
                          <w:t>-</w:t>
                        </w:r>
                      </w:p>
                    </w:sdtContent>
                  </w:sdt>
                  <w:p w14:paraId="39FCC3F9"/>
                </w:txbxContent>
              </v:textbox>
            </v:shape>
          </w:pict>
        </mc:Fallback>
      </mc:AlternateContent>
    </w:r>
  </w:p>
  <w:p w14:paraId="40D9C0A1">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jNmE1ZjdlYTdiMzJkN2JhYTBkNGQ2ZGQ3YTc3MzgifQ=="/>
  </w:docVars>
  <w:rsids>
    <w:rsidRoot w:val="00B06126"/>
    <w:rsid w:val="00003527"/>
    <w:rsid w:val="00020A76"/>
    <w:rsid w:val="00027E16"/>
    <w:rsid w:val="00036BB3"/>
    <w:rsid w:val="00050571"/>
    <w:rsid w:val="000543E4"/>
    <w:rsid w:val="00061EBD"/>
    <w:rsid w:val="000749B3"/>
    <w:rsid w:val="00090274"/>
    <w:rsid w:val="00095D54"/>
    <w:rsid w:val="000A34E6"/>
    <w:rsid w:val="000D4E89"/>
    <w:rsid w:val="000D78BD"/>
    <w:rsid w:val="000F052D"/>
    <w:rsid w:val="001224C0"/>
    <w:rsid w:val="00136426"/>
    <w:rsid w:val="00136BEB"/>
    <w:rsid w:val="00154858"/>
    <w:rsid w:val="00154F6E"/>
    <w:rsid w:val="00157CFA"/>
    <w:rsid w:val="00165844"/>
    <w:rsid w:val="00170BCD"/>
    <w:rsid w:val="0019343D"/>
    <w:rsid w:val="001934A6"/>
    <w:rsid w:val="001A1D81"/>
    <w:rsid w:val="001A679B"/>
    <w:rsid w:val="001A7A86"/>
    <w:rsid w:val="001B6649"/>
    <w:rsid w:val="001D0FE5"/>
    <w:rsid w:val="001E0252"/>
    <w:rsid w:val="001E0782"/>
    <w:rsid w:val="001E09D7"/>
    <w:rsid w:val="001E7B35"/>
    <w:rsid w:val="001F3277"/>
    <w:rsid w:val="001F5D03"/>
    <w:rsid w:val="00202E51"/>
    <w:rsid w:val="002101BC"/>
    <w:rsid w:val="002211A7"/>
    <w:rsid w:val="00244296"/>
    <w:rsid w:val="00247A8F"/>
    <w:rsid w:val="00280B94"/>
    <w:rsid w:val="002B2782"/>
    <w:rsid w:val="002C175A"/>
    <w:rsid w:val="002C6078"/>
    <w:rsid w:val="002E4FEE"/>
    <w:rsid w:val="002F2221"/>
    <w:rsid w:val="002F6445"/>
    <w:rsid w:val="003017FB"/>
    <w:rsid w:val="00306939"/>
    <w:rsid w:val="00322434"/>
    <w:rsid w:val="0032256F"/>
    <w:rsid w:val="00323EF0"/>
    <w:rsid w:val="00326FA9"/>
    <w:rsid w:val="00327764"/>
    <w:rsid w:val="00336C37"/>
    <w:rsid w:val="00350D84"/>
    <w:rsid w:val="00353B79"/>
    <w:rsid w:val="003648CF"/>
    <w:rsid w:val="00373EF3"/>
    <w:rsid w:val="00374300"/>
    <w:rsid w:val="00374582"/>
    <w:rsid w:val="003752B3"/>
    <w:rsid w:val="0038389F"/>
    <w:rsid w:val="003D5CA6"/>
    <w:rsid w:val="003F22F2"/>
    <w:rsid w:val="003F2768"/>
    <w:rsid w:val="00400F89"/>
    <w:rsid w:val="00406C53"/>
    <w:rsid w:val="00406E01"/>
    <w:rsid w:val="0042234C"/>
    <w:rsid w:val="00423267"/>
    <w:rsid w:val="00423501"/>
    <w:rsid w:val="00424D09"/>
    <w:rsid w:val="004351F1"/>
    <w:rsid w:val="00436076"/>
    <w:rsid w:val="0046113A"/>
    <w:rsid w:val="00467E53"/>
    <w:rsid w:val="00472201"/>
    <w:rsid w:val="00474DB0"/>
    <w:rsid w:val="00477094"/>
    <w:rsid w:val="00483405"/>
    <w:rsid w:val="004A54F7"/>
    <w:rsid w:val="004A7E43"/>
    <w:rsid w:val="004B1A15"/>
    <w:rsid w:val="004B2B6D"/>
    <w:rsid w:val="004B43BC"/>
    <w:rsid w:val="004B5F56"/>
    <w:rsid w:val="005010C3"/>
    <w:rsid w:val="0050342C"/>
    <w:rsid w:val="00503EEF"/>
    <w:rsid w:val="00504DFB"/>
    <w:rsid w:val="00514C8A"/>
    <w:rsid w:val="00533DA3"/>
    <w:rsid w:val="0053467D"/>
    <w:rsid w:val="0053546B"/>
    <w:rsid w:val="00540D36"/>
    <w:rsid w:val="00542F73"/>
    <w:rsid w:val="0054785F"/>
    <w:rsid w:val="00556CC5"/>
    <w:rsid w:val="0056362B"/>
    <w:rsid w:val="005754C0"/>
    <w:rsid w:val="00583810"/>
    <w:rsid w:val="005A5CBC"/>
    <w:rsid w:val="005B2F6B"/>
    <w:rsid w:val="005C6912"/>
    <w:rsid w:val="005D530C"/>
    <w:rsid w:val="005E0F7D"/>
    <w:rsid w:val="005F4D64"/>
    <w:rsid w:val="005F6F0B"/>
    <w:rsid w:val="00605C53"/>
    <w:rsid w:val="00606EB8"/>
    <w:rsid w:val="00622C80"/>
    <w:rsid w:val="00623501"/>
    <w:rsid w:val="0063093D"/>
    <w:rsid w:val="00633334"/>
    <w:rsid w:val="006342DA"/>
    <w:rsid w:val="00646560"/>
    <w:rsid w:val="006716C9"/>
    <w:rsid w:val="00674DAE"/>
    <w:rsid w:val="00692AA8"/>
    <w:rsid w:val="00697649"/>
    <w:rsid w:val="006B5A87"/>
    <w:rsid w:val="006D0824"/>
    <w:rsid w:val="006D1C71"/>
    <w:rsid w:val="006D4403"/>
    <w:rsid w:val="006D4560"/>
    <w:rsid w:val="006E0710"/>
    <w:rsid w:val="00707F50"/>
    <w:rsid w:val="0072784E"/>
    <w:rsid w:val="00730D18"/>
    <w:rsid w:val="00742FF7"/>
    <w:rsid w:val="007509BE"/>
    <w:rsid w:val="007546BB"/>
    <w:rsid w:val="007548DB"/>
    <w:rsid w:val="007563C3"/>
    <w:rsid w:val="007704FC"/>
    <w:rsid w:val="00782B93"/>
    <w:rsid w:val="00787175"/>
    <w:rsid w:val="007916B2"/>
    <w:rsid w:val="00792B37"/>
    <w:rsid w:val="007A6A21"/>
    <w:rsid w:val="007B070E"/>
    <w:rsid w:val="007B35EE"/>
    <w:rsid w:val="007C0E58"/>
    <w:rsid w:val="007C5B01"/>
    <w:rsid w:val="007D6C64"/>
    <w:rsid w:val="007F0B0D"/>
    <w:rsid w:val="007F4167"/>
    <w:rsid w:val="007F4605"/>
    <w:rsid w:val="007F71CE"/>
    <w:rsid w:val="008029E4"/>
    <w:rsid w:val="00802FA1"/>
    <w:rsid w:val="00806953"/>
    <w:rsid w:val="008123A5"/>
    <w:rsid w:val="00843846"/>
    <w:rsid w:val="0084707B"/>
    <w:rsid w:val="008477CD"/>
    <w:rsid w:val="0086148E"/>
    <w:rsid w:val="00887403"/>
    <w:rsid w:val="008D26CD"/>
    <w:rsid w:val="008D486D"/>
    <w:rsid w:val="008D6549"/>
    <w:rsid w:val="008E7A75"/>
    <w:rsid w:val="008F0145"/>
    <w:rsid w:val="008F0F6C"/>
    <w:rsid w:val="008F6312"/>
    <w:rsid w:val="009017F5"/>
    <w:rsid w:val="00906261"/>
    <w:rsid w:val="00915CD0"/>
    <w:rsid w:val="00924D93"/>
    <w:rsid w:val="00927EFA"/>
    <w:rsid w:val="0093290B"/>
    <w:rsid w:val="00936802"/>
    <w:rsid w:val="00963374"/>
    <w:rsid w:val="00972AD8"/>
    <w:rsid w:val="00985403"/>
    <w:rsid w:val="00987B61"/>
    <w:rsid w:val="0099277A"/>
    <w:rsid w:val="00994F5F"/>
    <w:rsid w:val="00996D1E"/>
    <w:rsid w:val="009A0E79"/>
    <w:rsid w:val="009A3B49"/>
    <w:rsid w:val="009B5D14"/>
    <w:rsid w:val="009D28B3"/>
    <w:rsid w:val="009D320A"/>
    <w:rsid w:val="009D5A0A"/>
    <w:rsid w:val="009D6FD2"/>
    <w:rsid w:val="009E28A3"/>
    <w:rsid w:val="009F3E71"/>
    <w:rsid w:val="00A03439"/>
    <w:rsid w:val="00A06772"/>
    <w:rsid w:val="00A15649"/>
    <w:rsid w:val="00A166B3"/>
    <w:rsid w:val="00A339F2"/>
    <w:rsid w:val="00A36191"/>
    <w:rsid w:val="00A54328"/>
    <w:rsid w:val="00A577F1"/>
    <w:rsid w:val="00A66FA0"/>
    <w:rsid w:val="00A70527"/>
    <w:rsid w:val="00A8222B"/>
    <w:rsid w:val="00A969A2"/>
    <w:rsid w:val="00AA28DE"/>
    <w:rsid w:val="00AA5B75"/>
    <w:rsid w:val="00AA7861"/>
    <w:rsid w:val="00AB0461"/>
    <w:rsid w:val="00AB49C0"/>
    <w:rsid w:val="00AB6C08"/>
    <w:rsid w:val="00AC1A37"/>
    <w:rsid w:val="00AC21A3"/>
    <w:rsid w:val="00AD0CEA"/>
    <w:rsid w:val="00AD40AE"/>
    <w:rsid w:val="00AD5405"/>
    <w:rsid w:val="00AF056D"/>
    <w:rsid w:val="00AF2484"/>
    <w:rsid w:val="00B03946"/>
    <w:rsid w:val="00B06126"/>
    <w:rsid w:val="00B141EA"/>
    <w:rsid w:val="00B272AA"/>
    <w:rsid w:val="00B40373"/>
    <w:rsid w:val="00B441CB"/>
    <w:rsid w:val="00B634F9"/>
    <w:rsid w:val="00B66EBD"/>
    <w:rsid w:val="00B70D7C"/>
    <w:rsid w:val="00B70E5B"/>
    <w:rsid w:val="00BA789D"/>
    <w:rsid w:val="00BB6449"/>
    <w:rsid w:val="00BD1660"/>
    <w:rsid w:val="00BE198B"/>
    <w:rsid w:val="00BE4217"/>
    <w:rsid w:val="00C00A30"/>
    <w:rsid w:val="00C05167"/>
    <w:rsid w:val="00C06B74"/>
    <w:rsid w:val="00C27FDE"/>
    <w:rsid w:val="00C365E4"/>
    <w:rsid w:val="00C41B8D"/>
    <w:rsid w:val="00C6331E"/>
    <w:rsid w:val="00C645C4"/>
    <w:rsid w:val="00C654D3"/>
    <w:rsid w:val="00C7389F"/>
    <w:rsid w:val="00C7653E"/>
    <w:rsid w:val="00CA3430"/>
    <w:rsid w:val="00CB482E"/>
    <w:rsid w:val="00CB6812"/>
    <w:rsid w:val="00CE5CA8"/>
    <w:rsid w:val="00CF46BB"/>
    <w:rsid w:val="00D214C9"/>
    <w:rsid w:val="00D2228B"/>
    <w:rsid w:val="00D26ADD"/>
    <w:rsid w:val="00D3614D"/>
    <w:rsid w:val="00D46808"/>
    <w:rsid w:val="00D468DC"/>
    <w:rsid w:val="00D50A29"/>
    <w:rsid w:val="00D54964"/>
    <w:rsid w:val="00D7136F"/>
    <w:rsid w:val="00D74360"/>
    <w:rsid w:val="00D757D8"/>
    <w:rsid w:val="00D9046B"/>
    <w:rsid w:val="00D918B9"/>
    <w:rsid w:val="00DA0DF2"/>
    <w:rsid w:val="00DA22C7"/>
    <w:rsid w:val="00DA38AC"/>
    <w:rsid w:val="00DA5DB7"/>
    <w:rsid w:val="00DB5DA9"/>
    <w:rsid w:val="00DD3142"/>
    <w:rsid w:val="00DD3154"/>
    <w:rsid w:val="00DE5C55"/>
    <w:rsid w:val="00DF7A7B"/>
    <w:rsid w:val="00E02EB0"/>
    <w:rsid w:val="00E12421"/>
    <w:rsid w:val="00E12E4D"/>
    <w:rsid w:val="00E163C6"/>
    <w:rsid w:val="00E32C26"/>
    <w:rsid w:val="00E41AEF"/>
    <w:rsid w:val="00E41B6E"/>
    <w:rsid w:val="00E536A5"/>
    <w:rsid w:val="00E54A0A"/>
    <w:rsid w:val="00E601F7"/>
    <w:rsid w:val="00E900D0"/>
    <w:rsid w:val="00E92B21"/>
    <w:rsid w:val="00EA4B80"/>
    <w:rsid w:val="00EB0CDF"/>
    <w:rsid w:val="00EC06B3"/>
    <w:rsid w:val="00EC1760"/>
    <w:rsid w:val="00EC40A6"/>
    <w:rsid w:val="00EC703D"/>
    <w:rsid w:val="00ED54AF"/>
    <w:rsid w:val="00ED5F9E"/>
    <w:rsid w:val="00EE138E"/>
    <w:rsid w:val="00EE1E09"/>
    <w:rsid w:val="00EE5B75"/>
    <w:rsid w:val="00EF7F5A"/>
    <w:rsid w:val="00F14118"/>
    <w:rsid w:val="00F15A23"/>
    <w:rsid w:val="00F17A45"/>
    <w:rsid w:val="00F21F29"/>
    <w:rsid w:val="00F331A6"/>
    <w:rsid w:val="00F35390"/>
    <w:rsid w:val="00F354B7"/>
    <w:rsid w:val="00F44979"/>
    <w:rsid w:val="00F4582F"/>
    <w:rsid w:val="00F45D99"/>
    <w:rsid w:val="00F5044E"/>
    <w:rsid w:val="00F51A2E"/>
    <w:rsid w:val="00F57AEF"/>
    <w:rsid w:val="00F939DE"/>
    <w:rsid w:val="00FC3E69"/>
    <w:rsid w:val="00FC7B58"/>
    <w:rsid w:val="00FD23E1"/>
    <w:rsid w:val="00FF014A"/>
    <w:rsid w:val="012D42FD"/>
    <w:rsid w:val="01305281"/>
    <w:rsid w:val="01CC4155"/>
    <w:rsid w:val="01F164CE"/>
    <w:rsid w:val="027C205C"/>
    <w:rsid w:val="02C94A0A"/>
    <w:rsid w:val="02ED6112"/>
    <w:rsid w:val="03947BBE"/>
    <w:rsid w:val="04D7187F"/>
    <w:rsid w:val="051E6BDA"/>
    <w:rsid w:val="056858EB"/>
    <w:rsid w:val="05823F16"/>
    <w:rsid w:val="05922417"/>
    <w:rsid w:val="061E195D"/>
    <w:rsid w:val="08267625"/>
    <w:rsid w:val="085B5903"/>
    <w:rsid w:val="087F1701"/>
    <w:rsid w:val="08FC3791"/>
    <w:rsid w:val="093A65B1"/>
    <w:rsid w:val="09556CEA"/>
    <w:rsid w:val="09673BFD"/>
    <w:rsid w:val="09880CAE"/>
    <w:rsid w:val="09960EC9"/>
    <w:rsid w:val="09D64B52"/>
    <w:rsid w:val="09F4194C"/>
    <w:rsid w:val="09F77C68"/>
    <w:rsid w:val="0ABE1215"/>
    <w:rsid w:val="0B2B6D61"/>
    <w:rsid w:val="0B4C689D"/>
    <w:rsid w:val="0BE65255"/>
    <w:rsid w:val="0D274612"/>
    <w:rsid w:val="0D50662E"/>
    <w:rsid w:val="0F1A213C"/>
    <w:rsid w:val="0FF587E2"/>
    <w:rsid w:val="112C634F"/>
    <w:rsid w:val="12041F1C"/>
    <w:rsid w:val="121F7121"/>
    <w:rsid w:val="12C71CA9"/>
    <w:rsid w:val="12F64D28"/>
    <w:rsid w:val="136021D9"/>
    <w:rsid w:val="13943A31"/>
    <w:rsid w:val="13F805A4"/>
    <w:rsid w:val="14397772"/>
    <w:rsid w:val="162B0F4B"/>
    <w:rsid w:val="16AF0347"/>
    <w:rsid w:val="16EF58AD"/>
    <w:rsid w:val="17612369"/>
    <w:rsid w:val="17A22C3F"/>
    <w:rsid w:val="188C65D3"/>
    <w:rsid w:val="18CD4A8F"/>
    <w:rsid w:val="19237DCB"/>
    <w:rsid w:val="199435DC"/>
    <w:rsid w:val="19B3151A"/>
    <w:rsid w:val="1BEB790C"/>
    <w:rsid w:val="1C203EE1"/>
    <w:rsid w:val="1C2A08B8"/>
    <w:rsid w:val="1C2D5F08"/>
    <w:rsid w:val="1CCC7614"/>
    <w:rsid w:val="1CCF21F1"/>
    <w:rsid w:val="1D1D63D2"/>
    <w:rsid w:val="1DB4564C"/>
    <w:rsid w:val="1E212E06"/>
    <w:rsid w:val="1EBA3A9B"/>
    <w:rsid w:val="1EEC2796"/>
    <w:rsid w:val="1FB91219"/>
    <w:rsid w:val="20D12E5F"/>
    <w:rsid w:val="210427F0"/>
    <w:rsid w:val="212D36A1"/>
    <w:rsid w:val="21372762"/>
    <w:rsid w:val="21ED35E0"/>
    <w:rsid w:val="2458005B"/>
    <w:rsid w:val="24593831"/>
    <w:rsid w:val="24B81BD3"/>
    <w:rsid w:val="272B3621"/>
    <w:rsid w:val="278A58BB"/>
    <w:rsid w:val="286A0BD0"/>
    <w:rsid w:val="28896009"/>
    <w:rsid w:val="28B417E9"/>
    <w:rsid w:val="28C84508"/>
    <w:rsid w:val="29165C02"/>
    <w:rsid w:val="29A529F3"/>
    <w:rsid w:val="2A32458D"/>
    <w:rsid w:val="2C092A5A"/>
    <w:rsid w:val="2C734DFA"/>
    <w:rsid w:val="2D6F30B6"/>
    <w:rsid w:val="2D99966E"/>
    <w:rsid w:val="2DAF3E40"/>
    <w:rsid w:val="2DBA5111"/>
    <w:rsid w:val="2DFE4487"/>
    <w:rsid w:val="2E3D7387"/>
    <w:rsid w:val="2EF7CDBC"/>
    <w:rsid w:val="2F92601C"/>
    <w:rsid w:val="300F55E6"/>
    <w:rsid w:val="30304791"/>
    <w:rsid w:val="30781792"/>
    <w:rsid w:val="30B8257C"/>
    <w:rsid w:val="319375DC"/>
    <w:rsid w:val="31F8678B"/>
    <w:rsid w:val="328A2BBE"/>
    <w:rsid w:val="32C62B5F"/>
    <w:rsid w:val="337F3C6E"/>
    <w:rsid w:val="33B54162"/>
    <w:rsid w:val="33CC1B89"/>
    <w:rsid w:val="33DA3986"/>
    <w:rsid w:val="3431732F"/>
    <w:rsid w:val="344C595B"/>
    <w:rsid w:val="3481246B"/>
    <w:rsid w:val="34ED4A10"/>
    <w:rsid w:val="34F301A9"/>
    <w:rsid w:val="34FD577E"/>
    <w:rsid w:val="35DF4534"/>
    <w:rsid w:val="36000A84"/>
    <w:rsid w:val="36397704"/>
    <w:rsid w:val="36714B46"/>
    <w:rsid w:val="36F65013"/>
    <w:rsid w:val="37B63C1C"/>
    <w:rsid w:val="37BEE962"/>
    <w:rsid w:val="38412F10"/>
    <w:rsid w:val="385A0A04"/>
    <w:rsid w:val="388C7B0C"/>
    <w:rsid w:val="38F20CA2"/>
    <w:rsid w:val="38F80C6C"/>
    <w:rsid w:val="39486E6D"/>
    <w:rsid w:val="396641B6"/>
    <w:rsid w:val="397D1A60"/>
    <w:rsid w:val="39E336FA"/>
    <w:rsid w:val="3A0830AA"/>
    <w:rsid w:val="3ACB0C60"/>
    <w:rsid w:val="3AD813C1"/>
    <w:rsid w:val="3AFA1331"/>
    <w:rsid w:val="3AFB4ACB"/>
    <w:rsid w:val="3AFC5754"/>
    <w:rsid w:val="3B173D7F"/>
    <w:rsid w:val="3B263A78"/>
    <w:rsid w:val="3B4C0EB4"/>
    <w:rsid w:val="3BFF3B6C"/>
    <w:rsid w:val="3C2E11E4"/>
    <w:rsid w:val="3C7D025D"/>
    <w:rsid w:val="3C8B54CD"/>
    <w:rsid w:val="3D0562FD"/>
    <w:rsid w:val="3D363D7A"/>
    <w:rsid w:val="3D7B34C7"/>
    <w:rsid w:val="3DB47FA6"/>
    <w:rsid w:val="3E357E29"/>
    <w:rsid w:val="3F9EC969"/>
    <w:rsid w:val="3FD17C46"/>
    <w:rsid w:val="3FDF3CD8"/>
    <w:rsid w:val="3FF51B41"/>
    <w:rsid w:val="40E42AFE"/>
    <w:rsid w:val="410E6949"/>
    <w:rsid w:val="42454447"/>
    <w:rsid w:val="42CA705B"/>
    <w:rsid w:val="43067DF5"/>
    <w:rsid w:val="43CF137B"/>
    <w:rsid w:val="447C21B0"/>
    <w:rsid w:val="447F2249"/>
    <w:rsid w:val="44900788"/>
    <w:rsid w:val="45AC4E6C"/>
    <w:rsid w:val="45B87142"/>
    <w:rsid w:val="45C2754F"/>
    <w:rsid w:val="4652461A"/>
    <w:rsid w:val="4696256D"/>
    <w:rsid w:val="46A46989"/>
    <w:rsid w:val="46DC6EDF"/>
    <w:rsid w:val="46EE732F"/>
    <w:rsid w:val="47281F9D"/>
    <w:rsid w:val="47AA00C4"/>
    <w:rsid w:val="490475FC"/>
    <w:rsid w:val="49323D85"/>
    <w:rsid w:val="49AF6EF2"/>
    <w:rsid w:val="49B145F3"/>
    <w:rsid w:val="4A3C1FD9"/>
    <w:rsid w:val="4B36139E"/>
    <w:rsid w:val="4C373098"/>
    <w:rsid w:val="4CA21C4A"/>
    <w:rsid w:val="4CC4617F"/>
    <w:rsid w:val="4CD81D7A"/>
    <w:rsid w:val="4D1D1C4D"/>
    <w:rsid w:val="4D6F6618"/>
    <w:rsid w:val="4D9664D8"/>
    <w:rsid w:val="4E5029EF"/>
    <w:rsid w:val="4FE16F21"/>
    <w:rsid w:val="50791A93"/>
    <w:rsid w:val="50C00528"/>
    <w:rsid w:val="511B534F"/>
    <w:rsid w:val="52A770BC"/>
    <w:rsid w:val="52BC367A"/>
    <w:rsid w:val="5328170D"/>
    <w:rsid w:val="53BC64B7"/>
    <w:rsid w:val="548E45D5"/>
    <w:rsid w:val="553A2DB7"/>
    <w:rsid w:val="56226810"/>
    <w:rsid w:val="56467EF3"/>
    <w:rsid w:val="566C0753"/>
    <w:rsid w:val="566C67F8"/>
    <w:rsid w:val="56F5067C"/>
    <w:rsid w:val="57266777"/>
    <w:rsid w:val="574A5644"/>
    <w:rsid w:val="57BF2D4E"/>
    <w:rsid w:val="581B1D7A"/>
    <w:rsid w:val="5889335C"/>
    <w:rsid w:val="59600DD3"/>
    <w:rsid w:val="59846BF5"/>
    <w:rsid w:val="59BB5336"/>
    <w:rsid w:val="59CE1662"/>
    <w:rsid w:val="59DD2EC7"/>
    <w:rsid w:val="5A154782"/>
    <w:rsid w:val="5AC425CD"/>
    <w:rsid w:val="5B024C99"/>
    <w:rsid w:val="5B733E48"/>
    <w:rsid w:val="5C250D3B"/>
    <w:rsid w:val="5C9238ED"/>
    <w:rsid w:val="5CBD35D4"/>
    <w:rsid w:val="5D043D63"/>
    <w:rsid w:val="5DB429A1"/>
    <w:rsid w:val="5E181CFD"/>
    <w:rsid w:val="5E477E65"/>
    <w:rsid w:val="5E59088A"/>
    <w:rsid w:val="5FBDE18A"/>
    <w:rsid w:val="5FF63B34"/>
    <w:rsid w:val="5FFF60DD"/>
    <w:rsid w:val="601879B6"/>
    <w:rsid w:val="603E4852"/>
    <w:rsid w:val="60FE29CA"/>
    <w:rsid w:val="61A96E48"/>
    <w:rsid w:val="61E4072E"/>
    <w:rsid w:val="61F87F79"/>
    <w:rsid w:val="62184EFE"/>
    <w:rsid w:val="62A33F76"/>
    <w:rsid w:val="62A73425"/>
    <w:rsid w:val="630348EE"/>
    <w:rsid w:val="63471D6C"/>
    <w:rsid w:val="63892FA5"/>
    <w:rsid w:val="63DF3B2F"/>
    <w:rsid w:val="663E6ED6"/>
    <w:rsid w:val="66417A82"/>
    <w:rsid w:val="66EC16C6"/>
    <w:rsid w:val="67485146"/>
    <w:rsid w:val="67E4410B"/>
    <w:rsid w:val="686F0DE5"/>
    <w:rsid w:val="68FE51D1"/>
    <w:rsid w:val="69772C41"/>
    <w:rsid w:val="69CC6B23"/>
    <w:rsid w:val="69F234FE"/>
    <w:rsid w:val="6A3264C7"/>
    <w:rsid w:val="6A9E1637"/>
    <w:rsid w:val="6ACA35EC"/>
    <w:rsid w:val="6B713F07"/>
    <w:rsid w:val="6B9958A4"/>
    <w:rsid w:val="6B99665F"/>
    <w:rsid w:val="6BA4766A"/>
    <w:rsid w:val="6BE331A3"/>
    <w:rsid w:val="6E277C8D"/>
    <w:rsid w:val="6E481854"/>
    <w:rsid w:val="6EA308F2"/>
    <w:rsid w:val="6F475D85"/>
    <w:rsid w:val="6F8347D6"/>
    <w:rsid w:val="6F9CDC0A"/>
    <w:rsid w:val="7019792D"/>
    <w:rsid w:val="702B3C6F"/>
    <w:rsid w:val="706125BB"/>
    <w:rsid w:val="70A94E62"/>
    <w:rsid w:val="70E242AA"/>
    <w:rsid w:val="72023EDE"/>
    <w:rsid w:val="72F6752C"/>
    <w:rsid w:val="742C304F"/>
    <w:rsid w:val="74666E87"/>
    <w:rsid w:val="74693269"/>
    <w:rsid w:val="748D6B9A"/>
    <w:rsid w:val="75D9055C"/>
    <w:rsid w:val="766F59CA"/>
    <w:rsid w:val="767C6572"/>
    <w:rsid w:val="77832280"/>
    <w:rsid w:val="79051BAC"/>
    <w:rsid w:val="796E08DD"/>
    <w:rsid w:val="7A230972"/>
    <w:rsid w:val="7B7B0BA3"/>
    <w:rsid w:val="7BBFDEEE"/>
    <w:rsid w:val="7C156D4E"/>
    <w:rsid w:val="7C3612D6"/>
    <w:rsid w:val="7C6B66BE"/>
    <w:rsid w:val="7DE74AD4"/>
    <w:rsid w:val="7DFC176D"/>
    <w:rsid w:val="7EAB7AE1"/>
    <w:rsid w:val="7ED3411D"/>
    <w:rsid w:val="7EEF57B5"/>
    <w:rsid w:val="7F43470F"/>
    <w:rsid w:val="7F47795F"/>
    <w:rsid w:val="7FB2376C"/>
    <w:rsid w:val="7FB6227E"/>
    <w:rsid w:val="7FCD343C"/>
    <w:rsid w:val="7FE536E9"/>
    <w:rsid w:val="7FFF451A"/>
    <w:rsid w:val="7FFFD320"/>
    <w:rsid w:val="8A757EA9"/>
    <w:rsid w:val="B5AED128"/>
    <w:rsid w:val="BB7D1001"/>
    <w:rsid w:val="BDFEB4A4"/>
    <w:rsid w:val="BF976A5F"/>
    <w:rsid w:val="D5EF8D84"/>
    <w:rsid w:val="D9BFF91F"/>
    <w:rsid w:val="FD172F10"/>
    <w:rsid w:val="FE8E2342"/>
    <w:rsid w:val="FF75D428"/>
    <w:rsid w:val="FFDF3706"/>
    <w:rsid w:val="FFE4F16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rFonts w:ascii="Times New Roman" w:hAnsi="Times New Roman" w:eastAsia="宋体" w:cs="Times New Roman"/>
    </w:rPr>
  </w:style>
  <w:style w:type="paragraph" w:styleId="4">
    <w:name w:val="annotation text"/>
    <w:basedOn w:val="1"/>
    <w:semiHidden/>
    <w:unhideWhenUsed/>
    <w:qFormat/>
    <w:uiPriority w:val="99"/>
    <w:pPr>
      <w:jc w:val="left"/>
    </w:pPr>
  </w:style>
  <w:style w:type="paragraph" w:styleId="5">
    <w:name w:val="Body Text"/>
    <w:basedOn w:val="1"/>
    <w:qFormat/>
    <w:uiPriority w:val="0"/>
  </w:style>
  <w:style w:type="paragraph" w:styleId="6">
    <w:name w:val="endnote text"/>
    <w:basedOn w:val="1"/>
    <w:link w:val="29"/>
    <w:semiHidden/>
    <w:unhideWhenUsed/>
    <w:qFormat/>
    <w:uiPriority w:val="99"/>
    <w:pPr>
      <w:snapToGrid w:val="0"/>
      <w:jc w:val="left"/>
    </w:pPr>
  </w:style>
  <w:style w:type="paragraph" w:styleId="7">
    <w:name w:val="Balloon Text"/>
    <w:basedOn w:val="1"/>
    <w:link w:val="26"/>
    <w:semiHidden/>
    <w:unhideWhenUsed/>
    <w:qFormat/>
    <w:uiPriority w:val="99"/>
    <w:rPr>
      <w:sz w:val="18"/>
      <w:szCs w:val="18"/>
    </w:rPr>
  </w:style>
  <w:style w:type="paragraph" w:styleId="8">
    <w:name w:val="footer"/>
    <w:basedOn w:val="1"/>
    <w:link w:val="19"/>
    <w:unhideWhenUsed/>
    <w:qFormat/>
    <w:uiPriority w:val="99"/>
    <w:pPr>
      <w:tabs>
        <w:tab w:val="center" w:pos="4153"/>
        <w:tab w:val="right" w:pos="8306"/>
      </w:tabs>
      <w:snapToGrid w:val="0"/>
      <w:jc w:val="left"/>
    </w:pPr>
    <w:rPr>
      <w:sz w:val="18"/>
      <w:szCs w:val="18"/>
    </w:rPr>
  </w:style>
  <w:style w:type="paragraph" w:styleId="9">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link w:val="22"/>
    <w:unhideWhenUsed/>
    <w:qFormat/>
    <w:uiPriority w:val="99"/>
    <w:pPr>
      <w:snapToGrid w:val="0"/>
      <w:jc w:val="left"/>
    </w:pPr>
    <w:rPr>
      <w:rFonts w:ascii="Calibri" w:hAnsi="Calibri" w:eastAsia="宋体" w:cs="Times New Roman"/>
      <w:sz w:val="18"/>
      <w:szCs w:val="18"/>
    </w:rPr>
  </w:style>
  <w:style w:type="paragraph" w:styleId="11">
    <w:name w:val="Normal (Web)"/>
    <w:basedOn w:val="1"/>
    <w:semiHidden/>
    <w:unhideWhenUsed/>
    <w:qFormat/>
    <w:uiPriority w:val="99"/>
    <w:rPr>
      <w:sz w:val="24"/>
    </w:rPr>
  </w:style>
  <w:style w:type="character" w:styleId="14">
    <w:name w:val="endnote reference"/>
    <w:basedOn w:val="13"/>
    <w:semiHidden/>
    <w:unhideWhenUsed/>
    <w:qFormat/>
    <w:uiPriority w:val="99"/>
    <w:rPr>
      <w:vertAlign w:val="superscript"/>
    </w:rPr>
  </w:style>
  <w:style w:type="character" w:styleId="15">
    <w:name w:val="page number"/>
    <w:qFormat/>
    <w:uiPriority w:val="0"/>
  </w:style>
  <w:style w:type="character" w:styleId="16">
    <w:name w:val="Emphasis"/>
    <w:basedOn w:val="13"/>
    <w:qFormat/>
    <w:uiPriority w:val="20"/>
    <w:rPr>
      <w:i/>
    </w:rPr>
  </w:style>
  <w:style w:type="character" w:styleId="17">
    <w:name w:val="footnote reference"/>
    <w:basedOn w:val="13"/>
    <w:unhideWhenUsed/>
    <w:qFormat/>
    <w:uiPriority w:val="99"/>
    <w:rPr>
      <w:vertAlign w:val="superscript"/>
    </w:rPr>
  </w:style>
  <w:style w:type="character" w:customStyle="1" w:styleId="18">
    <w:name w:val="页眉 Char"/>
    <w:basedOn w:val="13"/>
    <w:link w:val="9"/>
    <w:qFormat/>
    <w:uiPriority w:val="99"/>
    <w:rPr>
      <w:sz w:val="18"/>
      <w:szCs w:val="18"/>
    </w:rPr>
  </w:style>
  <w:style w:type="character" w:customStyle="1" w:styleId="19">
    <w:name w:val="页脚 Char"/>
    <w:basedOn w:val="13"/>
    <w:link w:val="8"/>
    <w:qFormat/>
    <w:uiPriority w:val="99"/>
    <w:rPr>
      <w:sz w:val="18"/>
      <w:szCs w:val="18"/>
    </w:rPr>
  </w:style>
  <w:style w:type="character" w:customStyle="1" w:styleId="20">
    <w:name w:val="Body text|1_"/>
    <w:link w:val="21"/>
    <w:qFormat/>
    <w:uiPriority w:val="0"/>
    <w:rPr>
      <w:rFonts w:ascii="宋体" w:hAnsi="宋体" w:cs="宋体"/>
      <w:sz w:val="28"/>
      <w:szCs w:val="28"/>
      <w:lang w:val="zh-TW" w:eastAsia="zh-TW" w:bidi="zh-TW"/>
    </w:rPr>
  </w:style>
  <w:style w:type="paragraph" w:customStyle="1" w:styleId="21">
    <w:name w:val="Body text|1"/>
    <w:basedOn w:val="1"/>
    <w:link w:val="20"/>
    <w:qFormat/>
    <w:uiPriority w:val="0"/>
    <w:pPr>
      <w:spacing w:line="449" w:lineRule="auto"/>
      <w:ind w:firstLine="400"/>
      <w:jc w:val="left"/>
    </w:pPr>
    <w:rPr>
      <w:rFonts w:ascii="宋体" w:hAnsi="宋体" w:cs="宋体"/>
      <w:sz w:val="28"/>
      <w:szCs w:val="28"/>
      <w:lang w:val="zh-TW" w:eastAsia="zh-TW" w:bidi="zh-TW"/>
    </w:rPr>
  </w:style>
  <w:style w:type="character" w:customStyle="1" w:styleId="22">
    <w:name w:val="脚注文本 Char"/>
    <w:basedOn w:val="13"/>
    <w:link w:val="10"/>
    <w:qFormat/>
    <w:uiPriority w:val="99"/>
    <w:rPr>
      <w:rFonts w:ascii="Calibri" w:hAnsi="Calibri" w:eastAsia="宋体" w:cs="Times New Roman"/>
      <w:sz w:val="18"/>
      <w:szCs w:val="18"/>
    </w:rPr>
  </w:style>
  <w:style w:type="paragraph" w:styleId="23">
    <w:name w:val="List Paragraph"/>
    <w:basedOn w:val="1"/>
    <w:qFormat/>
    <w:uiPriority w:val="34"/>
    <w:pPr>
      <w:ind w:firstLine="420" w:firstLineChars="200"/>
    </w:pPr>
  </w:style>
  <w:style w:type="paragraph" w:customStyle="1" w:styleId="24">
    <w:name w:val="正文 A"/>
    <w:qFormat/>
    <w:uiPriority w:val="0"/>
    <w:pPr>
      <w:widowControl w:val="0"/>
      <w:jc w:val="both"/>
    </w:pPr>
    <w:rPr>
      <w:rFonts w:ascii="Calibri" w:hAnsi="Calibri" w:eastAsia="Arial Unicode MS" w:cs="Arial Unicode MS"/>
      <w:color w:val="000000"/>
      <w:kern w:val="2"/>
      <w:sz w:val="21"/>
      <w:szCs w:val="21"/>
      <w:u w:color="000000"/>
      <w:lang w:val="en-US" w:eastAsia="zh-CN" w:bidi="ar-SA"/>
    </w:rPr>
  </w:style>
  <w:style w:type="character" w:customStyle="1" w:styleId="25">
    <w:name w:val="NormalCharacter"/>
    <w:qFormat/>
    <w:uiPriority w:val="0"/>
  </w:style>
  <w:style w:type="character" w:customStyle="1" w:styleId="26">
    <w:name w:val="批注框文本 Char"/>
    <w:basedOn w:val="13"/>
    <w:link w:val="7"/>
    <w:semiHidden/>
    <w:qFormat/>
    <w:uiPriority w:val="99"/>
    <w:rPr>
      <w:rFonts w:asciiTheme="minorHAnsi" w:hAnsiTheme="minorHAnsi" w:eastAsiaTheme="minorEastAsia" w:cstheme="minorBidi"/>
      <w:kern w:val="2"/>
      <w:sz w:val="18"/>
      <w:szCs w:val="18"/>
    </w:rPr>
  </w:style>
  <w:style w:type="paragraph" w:customStyle="1" w:styleId="27">
    <w:name w:val="p0"/>
    <w:basedOn w:val="1"/>
    <w:qFormat/>
    <w:uiPriority w:val="0"/>
    <w:pPr>
      <w:widowControl/>
    </w:pPr>
    <w:rPr>
      <w:rFonts w:ascii="Calibri" w:hAnsi="Calibri" w:eastAsia="宋体" w:cs="Times New Roman"/>
      <w:kern w:val="0"/>
      <w:szCs w:val="21"/>
    </w:rPr>
  </w:style>
  <w:style w:type="character" w:customStyle="1" w:styleId="28">
    <w:name w:val="font31"/>
    <w:basedOn w:val="13"/>
    <w:qFormat/>
    <w:uiPriority w:val="0"/>
    <w:rPr>
      <w:rFonts w:ascii="方正小标宋_GBK" w:hAnsi="方正小标宋_GBK" w:eastAsia="方正小标宋_GBK" w:cs="方正小标宋_GBK"/>
      <w:color w:val="000000"/>
      <w:sz w:val="44"/>
      <w:szCs w:val="44"/>
      <w:u w:val="none"/>
    </w:rPr>
  </w:style>
  <w:style w:type="character" w:customStyle="1" w:styleId="29">
    <w:name w:val="尾注文本 Char"/>
    <w:basedOn w:val="13"/>
    <w:link w:val="6"/>
    <w:semiHidden/>
    <w:qFormat/>
    <w:uiPriority w:val="99"/>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DE6366-EE98-458D-8100-AF9201DAD9FB}">
  <ds:schemaRefs/>
</ds:datastoreItem>
</file>

<file path=docProps/app.xml><?xml version="1.0" encoding="utf-8"?>
<Properties xmlns="http://schemas.openxmlformats.org/officeDocument/2006/extended-properties" xmlns:vt="http://schemas.openxmlformats.org/officeDocument/2006/docPropsVTypes">
  <Template>Normal.dotm</Template>
  <Pages>8</Pages>
  <Words>4316</Words>
  <Characters>4341</Characters>
  <Lines>30</Lines>
  <Paragraphs>19</Paragraphs>
  <TotalTime>29</TotalTime>
  <ScaleCrop>false</ScaleCrop>
  <LinksUpToDate>false</LinksUpToDate>
  <CharactersWithSpaces>4341</CharactersWithSpaces>
  <Application>WPS Office_12.1.0.25225_F1E327BC-269C-435d-A152-05C5408002CA</Application>
  <DocSecurity>1</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2026-01-25T23:12:00Z</dcterms:created>
  <dc:creator>Windows 用户</dc:creator>
  <cp:lastModifiedBy>Koenig</cp:lastModifiedBy>
  <cp:lastPrinted>2026-04-08T01:11:00Z</cp:lastPrinted>
  <dcterms:modified xsi:type="dcterms:W3CDTF">2026-04-13T03:06:19Z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4185CDB681D54AD09B1A108D603C750F_13</vt:lpwstr>
  </property>
  <property fmtid="{D5CDD505-2E9C-101B-9397-08002B2CF9AE}" pid="4" name="KSOTemplateDocerSaveRecord">
    <vt:lpwstr>eyJoZGlkIjoiNTg3ZTI2OGZkYTFkODU4OWY2OGM2YjRlYzIxZjJjMzIiLCJ1c2VySWQiOiI1OTQyNTExOTYifQ==</vt:lpwstr>
  </property>
</Properties>
</file>